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Default="002E1914" w:rsidP="00F5587C">
      <w:pPr>
        <w:spacing w:after="0" w:line="240" w:lineRule="auto"/>
        <w:ind w:firstLine="708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9C98F0C" wp14:editId="0481A365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B551C7" w:rsidRDefault="00B551C7" w:rsidP="00B551C7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Региональных чемпионатов 2018-2019</w:t>
      </w:r>
    </w:p>
    <w:p w:rsidR="00B551C7" w:rsidRPr="00B551C7" w:rsidRDefault="00B551C7" w:rsidP="00B551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91E20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ПЛОТНИЦКОЕ ДЕЛО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DB3078" w:rsidRDefault="006151AB" w:rsidP="006151AB">
      <w:pPr>
        <w:pStyle w:val="Doctitle"/>
        <w:rPr>
          <w:rFonts w:ascii="Times New Roman" w:eastAsia="Malgun Gothic" w:hAnsi="Times New Roman"/>
          <w:sz w:val="24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51C7">
        <w:rPr>
          <w:noProof/>
          <w:color w:val="000000" w:themeColor="text1"/>
          <w:sz w:val="28"/>
          <w:szCs w:val="28"/>
        </w:rPr>
        <w:t xml:space="preserve"> </w:t>
      </w:r>
      <w:r w:rsidR="00876439" w:rsidRPr="007E4D24">
        <w:rPr>
          <w:noProof/>
          <w:color w:val="0070C0"/>
          <w:sz w:val="28"/>
          <w:szCs w:val="28"/>
        </w:rPr>
        <w:t>2</w:t>
      </w:r>
      <w:r w:rsidR="00DB3078">
        <w:rPr>
          <w:noProof/>
          <w:color w:val="0070C0"/>
          <w:sz w:val="28"/>
          <w:szCs w:val="28"/>
        </w:rPr>
        <w:t>0</w:t>
      </w:r>
      <w:r w:rsidR="00B551C7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Pr="003F5F84" w:rsidRDefault="00BF6513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B475C1">
        <w:rPr>
          <w:rStyle w:val="1"/>
          <w:rFonts w:ascii="Times New Roman" w:hAnsi="Times New Roman" w:cs="Times New Roman"/>
          <w:sz w:val="28"/>
          <w:szCs w:val="28"/>
        </w:rPr>
        <w:t>Плотницкие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Участники соревнований получают инструкцию, </w:t>
      </w:r>
      <w:r w:rsidR="00B475C1">
        <w:rPr>
          <w:rStyle w:val="1"/>
          <w:rFonts w:ascii="Times New Roman" w:hAnsi="Times New Roman" w:cs="Times New Roman"/>
          <w:sz w:val="28"/>
          <w:szCs w:val="28"/>
        </w:rPr>
        <w:t>чертежи и задание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B475C1">
        <w:rPr>
          <w:rStyle w:val="1"/>
          <w:rFonts w:ascii="Times New Roman" w:hAnsi="Times New Roman" w:cs="Times New Roman"/>
          <w:sz w:val="28"/>
          <w:szCs w:val="28"/>
        </w:rPr>
        <w:t>выполнение необходимых чертежей и изготовление по ним садовой беседки.</w:t>
      </w:r>
    </w:p>
    <w:p w:rsidR="002725A4" w:rsidRDefault="00BF6513" w:rsidP="00002A60">
      <w:pPr>
        <w:pStyle w:val="4"/>
        <w:spacing w:before="240" w:after="0" w:line="276" w:lineRule="auto"/>
        <w:ind w:left="23" w:firstLine="709"/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</w:t>
      </w:r>
      <w:r w:rsidR="002725A4">
        <w:rPr>
          <w:rStyle w:val="1"/>
          <w:rFonts w:ascii="Times New Roman" w:hAnsi="Times New Roman" w:cs="Times New Roman"/>
          <w:sz w:val="28"/>
          <w:szCs w:val="28"/>
        </w:rPr>
        <w:t>точняются членами жюри. П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роизводится </w:t>
      </w:r>
      <w:r w:rsidR="002725A4">
        <w:rPr>
          <w:rStyle w:val="1"/>
          <w:rFonts w:ascii="Times New Roman" w:hAnsi="Times New Roman" w:cs="Times New Roman"/>
          <w:sz w:val="28"/>
          <w:szCs w:val="28"/>
        </w:rPr>
        <w:t>оценка</w:t>
      </w:r>
      <w:r w:rsidR="002725A4" w:rsidRPr="002725A4">
        <w:rPr>
          <w:rStyle w:val="1"/>
          <w:rFonts w:ascii="Times New Roman" w:hAnsi="Times New Roman" w:cs="Times New Roman"/>
          <w:sz w:val="28"/>
          <w:szCs w:val="28"/>
        </w:rPr>
        <w:t xml:space="preserve"> только </w:t>
      </w:r>
      <w:r w:rsidR="002725A4">
        <w:rPr>
          <w:rStyle w:val="1"/>
          <w:rFonts w:ascii="Times New Roman" w:hAnsi="Times New Roman" w:cs="Times New Roman"/>
          <w:sz w:val="28"/>
          <w:szCs w:val="28"/>
        </w:rPr>
        <w:t>тех</w:t>
      </w:r>
      <w:r w:rsidR="002725A4" w:rsidRPr="002725A4">
        <w:rPr>
          <w:rStyle w:val="1"/>
          <w:rFonts w:ascii="Times New Roman" w:hAnsi="Times New Roman" w:cs="Times New Roman"/>
          <w:sz w:val="28"/>
          <w:szCs w:val="28"/>
        </w:rPr>
        <w:t xml:space="preserve"> навыков, </w:t>
      </w:r>
      <w:r w:rsidR="002725A4">
        <w:rPr>
          <w:rStyle w:val="1"/>
          <w:rFonts w:ascii="Times New Roman" w:hAnsi="Times New Roman" w:cs="Times New Roman"/>
          <w:sz w:val="28"/>
          <w:szCs w:val="28"/>
        </w:rPr>
        <w:t>которые указаны</w:t>
      </w:r>
      <w:r w:rsidR="002725A4" w:rsidRPr="002725A4">
        <w:rPr>
          <w:rStyle w:val="1"/>
          <w:rFonts w:ascii="Times New Roman" w:hAnsi="Times New Roman" w:cs="Times New Roman"/>
          <w:sz w:val="28"/>
          <w:szCs w:val="28"/>
        </w:rPr>
        <w:t xml:space="preserve"> в W</w:t>
      </w:r>
      <w:r w:rsidR="002725A4">
        <w:rPr>
          <w:rStyle w:val="1"/>
          <w:rFonts w:ascii="Times New Roman" w:hAnsi="Times New Roman" w:cs="Times New Roman"/>
          <w:sz w:val="28"/>
          <w:szCs w:val="28"/>
        </w:rPr>
        <w:t>SSS.</w:t>
      </w:r>
      <w:r w:rsidR="002725A4" w:rsidRPr="002725A4">
        <w:rPr>
          <w:rStyle w:val="1"/>
          <w:rFonts w:ascii="Times New Roman" w:hAnsi="Times New Roman" w:cs="Times New Roman"/>
          <w:sz w:val="28"/>
          <w:szCs w:val="28"/>
        </w:rPr>
        <w:t xml:space="preserve"> Цель Соревнования – продемонстрировать профессионализм так, как это описано в WSSS. Проверке подлежат следующие навыки:</w:t>
      </w:r>
      <w:r w:rsidR="002725A4" w:rsidRPr="002725A4">
        <w:t xml:space="preserve"> 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Организация труда;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Способы коммуникации;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Умение преодолевать трудности;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Чтение и интерпретация чертежей;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Измерения и разметка;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Выполнение соединений и подготовка деталей для сборки;</w:t>
      </w:r>
    </w:p>
    <w:p w:rsidR="002725A4" w:rsidRPr="002725A4" w:rsidRDefault="002725A4" w:rsidP="00002A60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Сборка и крепеж всех элементов структуры (установка);</w:t>
      </w:r>
    </w:p>
    <w:p w:rsidR="002725A4" w:rsidRDefault="002725A4" w:rsidP="00002A60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725A4">
        <w:rPr>
          <w:rStyle w:val="1"/>
          <w:rFonts w:ascii="Times New Roman" w:hAnsi="Times New Roman" w:cs="Times New Roman"/>
          <w:sz w:val="28"/>
          <w:szCs w:val="28"/>
        </w:rPr>
        <w:t>Финишная обработка.</w:t>
      </w:r>
    </w:p>
    <w:p w:rsidR="00EC47C7" w:rsidRDefault="00EC47C7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также происходит от модуля к модулю</w:t>
      </w:r>
      <w:r>
        <w:rPr>
          <w:rStyle w:val="1"/>
          <w:rFonts w:ascii="Times New Roman" w:hAnsi="Times New Roman" w:cs="Times New Roman"/>
          <w:sz w:val="28"/>
          <w:szCs w:val="28"/>
        </w:rPr>
        <w:t>. Возможно, по предварительному согласованию экспертов, изменение последовательности выполнения задания: вместо 1;2;3;4 модули последовательность может быть такая: 1;3;2;4 модули.</w:t>
      </w:r>
    </w:p>
    <w:p w:rsidR="00EC47C7" w:rsidRP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>ОБЩИЕ ИНСТРУКЦИИ ДЛЯ КОНКУРСАНТОВ</w:t>
      </w:r>
    </w:p>
    <w:p w:rsidR="00EC47C7" w:rsidRP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1) В начале соревнования </w:t>
      </w:r>
      <w:r>
        <w:rPr>
          <w:rStyle w:val="1"/>
          <w:rFonts w:ascii="Times New Roman" w:hAnsi="Times New Roman" w:cs="Times New Roman"/>
          <w:sz w:val="28"/>
          <w:szCs w:val="28"/>
        </w:rPr>
        <w:t>участникам даётся</w:t>
      </w:r>
      <w:r w:rsidR="00BD3B5E">
        <w:rPr>
          <w:rStyle w:val="1"/>
          <w:rFonts w:ascii="Times New Roman" w:hAnsi="Times New Roman" w:cs="Times New Roman"/>
          <w:sz w:val="28"/>
          <w:szCs w:val="28"/>
        </w:rPr>
        <w:t xml:space="preserve"> 3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>0 минут на ознакомление с чертежом 1 модуля и обсуждение любых возникших вопросов.</w:t>
      </w:r>
    </w:p>
    <w:p w:rsidR="00EC47C7" w:rsidRPr="00EC47C7" w:rsidRDefault="00BD3B5E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Для каждых следующих</w:t>
      </w:r>
      <w:r w:rsidR="00EC47C7">
        <w:rPr>
          <w:rStyle w:val="1"/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</w:t>
      </w:r>
      <w:r w:rsidR="00EC47C7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дается время (не менее 15 минут) на ознакомление с чертежом модуля и обсуждение вопросов. Это время не учитывается.</w:t>
      </w:r>
    </w:p>
    <w:p w:rsidR="00EC47C7" w:rsidRPr="00EC47C7" w:rsidRDefault="00EC47C7" w:rsidP="008745A3">
      <w:pPr>
        <w:pStyle w:val="4"/>
        <w:spacing w:before="12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>2) Модуль 1. Вычерчивать модуль на предоставленном для чертежа материале только при условии необходимости.</w:t>
      </w:r>
    </w:p>
    <w:p w:rsidR="00EC47C7" w:rsidRDefault="00EC47C7" w:rsidP="008745A3">
      <w:pPr>
        <w:pStyle w:val="4"/>
        <w:spacing w:before="12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Модуль 2. Разработка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>чертежей стропильной системы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должна производиться </w:t>
      </w:r>
      <w:r w:rsidR="004306D4">
        <w:rPr>
          <w:rStyle w:val="1"/>
          <w:rFonts w:ascii="Times New Roman" w:hAnsi="Times New Roman" w:cs="Times New Roman"/>
          <w:sz w:val="28"/>
          <w:szCs w:val="28"/>
        </w:rPr>
        <w:t xml:space="preserve">строго 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на предоставленном для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>этой цели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материале.</w:t>
      </w:r>
    </w:p>
    <w:p w:rsidR="002F798E" w:rsidRPr="00EC47C7" w:rsidRDefault="002F798E" w:rsidP="008745A3">
      <w:pPr>
        <w:pStyle w:val="4"/>
        <w:spacing w:before="12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Модуль 3, 4. Разработку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чертежей производить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на предоставленном для </w:t>
      </w:r>
      <w:r>
        <w:rPr>
          <w:rStyle w:val="1"/>
          <w:rFonts w:ascii="Times New Roman" w:hAnsi="Times New Roman" w:cs="Times New Roman"/>
          <w:sz w:val="28"/>
          <w:szCs w:val="28"/>
        </w:rPr>
        <w:t>этой цели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материале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>т</w:t>
      </w:r>
      <w:r>
        <w:rPr>
          <w:rStyle w:val="1"/>
          <w:rFonts w:ascii="Times New Roman" w:hAnsi="Times New Roman" w:cs="Times New Roman"/>
          <w:sz w:val="28"/>
          <w:szCs w:val="28"/>
        </w:rPr>
        <w:t>олько при условии необходимости</w:t>
      </w:r>
      <w:r w:rsidRPr="00EC47C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D4E03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3) 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Подготовленные детали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каждого модуля 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>(после того, как сделаны все разрезы) перед сборкой предоставляются для оценивания жюри. Детали, выполненные с грубыми отклонениями от чертежа, не оцениваются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>4)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Каждый рез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>выполняется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 либо на станке, либо ручным инструментом, и после этого он не может быть переработан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 без штрафных баллов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Баллы 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вычитаются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а 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каждый </w:t>
      </w:r>
      <w:r w:rsidR="003D4E03" w:rsidRPr="00EC47C7">
        <w:rPr>
          <w:rStyle w:val="1"/>
          <w:rFonts w:ascii="Times New Roman" w:hAnsi="Times New Roman" w:cs="Times New Roman"/>
          <w:sz w:val="28"/>
          <w:szCs w:val="28"/>
        </w:rPr>
        <w:t>повторный рез</w:t>
      </w:r>
      <w:r w:rsidR="003D4E03">
        <w:rPr>
          <w:rStyle w:val="1"/>
          <w:rFonts w:ascii="Times New Roman" w:hAnsi="Times New Roman" w:cs="Times New Roman"/>
          <w:sz w:val="28"/>
          <w:szCs w:val="28"/>
        </w:rPr>
        <w:t xml:space="preserve">. Повторным резом считаются </w:t>
      </w:r>
      <w:r w:rsidR="002F798E">
        <w:rPr>
          <w:rStyle w:val="1"/>
          <w:rFonts w:ascii="Times New Roman" w:hAnsi="Times New Roman" w:cs="Times New Roman"/>
          <w:sz w:val="28"/>
          <w:szCs w:val="28"/>
        </w:rPr>
        <w:t xml:space="preserve">любые действия по изменению формы детали. Изменение одного соединения на одной детали наказывается 1,25 </w:t>
      </w:r>
      <w:r w:rsidR="005769E2">
        <w:rPr>
          <w:rStyle w:val="1"/>
          <w:rFonts w:ascii="Times New Roman" w:hAnsi="Times New Roman" w:cs="Times New Roman"/>
          <w:sz w:val="28"/>
          <w:szCs w:val="28"/>
        </w:rPr>
        <w:t>штрафных баллов</w:t>
      </w:r>
      <w:r w:rsidR="002F798E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EC47C7" w:rsidRP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5) </w:t>
      </w:r>
      <w:r w:rsidR="002F798E" w:rsidRPr="00EC47C7">
        <w:rPr>
          <w:rStyle w:val="1"/>
          <w:rFonts w:ascii="Times New Roman" w:hAnsi="Times New Roman" w:cs="Times New Roman"/>
          <w:sz w:val="28"/>
          <w:szCs w:val="28"/>
        </w:rPr>
        <w:t xml:space="preserve">Каждый выполненный модуль оценивается отдельно. Когда модуль собран, он сдается на проверку </w:t>
      </w:r>
      <w:r w:rsidR="002F798E">
        <w:rPr>
          <w:rStyle w:val="1"/>
          <w:rFonts w:ascii="Times New Roman" w:hAnsi="Times New Roman" w:cs="Times New Roman"/>
          <w:sz w:val="28"/>
          <w:szCs w:val="28"/>
        </w:rPr>
        <w:t xml:space="preserve">внутренних соединений </w:t>
      </w:r>
      <w:r w:rsidR="002F798E" w:rsidRPr="00EC47C7">
        <w:rPr>
          <w:rStyle w:val="1"/>
          <w:rFonts w:ascii="Times New Roman" w:hAnsi="Times New Roman" w:cs="Times New Roman"/>
          <w:sz w:val="28"/>
          <w:szCs w:val="28"/>
        </w:rPr>
        <w:t>и оценивание жюри. Соединения, выполненные с грубыми отклонениями от чертежа, не оцениваются.</w:t>
      </w:r>
    </w:p>
    <w:p w:rsidR="00EC47C7" w:rsidRP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6) </w:t>
      </w:r>
      <w:r w:rsidR="00562D9B">
        <w:rPr>
          <w:rStyle w:val="1"/>
          <w:rFonts w:ascii="Times New Roman" w:hAnsi="Times New Roman" w:cs="Times New Roman"/>
          <w:sz w:val="28"/>
          <w:szCs w:val="28"/>
        </w:rPr>
        <w:t xml:space="preserve">На период оценивания экспертами внутренних соединений время участнику не останавливается и не компенсируется, так как ему без задержки выдаются чертежи следующего модуля. </w:t>
      </w:r>
      <w:r w:rsidR="00BD3B5E">
        <w:rPr>
          <w:rStyle w:val="1"/>
          <w:rFonts w:ascii="Times New Roman" w:hAnsi="Times New Roman" w:cs="Times New Roman"/>
          <w:sz w:val="28"/>
          <w:szCs w:val="28"/>
        </w:rPr>
        <w:t>Исключение – оценка внутренних соединений последнего 4-го модуля.</w:t>
      </w:r>
    </w:p>
    <w:p w:rsidR="00EC47C7" w:rsidRPr="00EC47C7" w:rsidRDefault="00EC47C7" w:rsidP="00002A60">
      <w:pPr>
        <w:pStyle w:val="4"/>
        <w:spacing w:before="24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7) </w:t>
      </w:r>
      <w:r w:rsidR="00562D9B">
        <w:rPr>
          <w:rStyle w:val="1"/>
          <w:rFonts w:ascii="Times New Roman" w:hAnsi="Times New Roman" w:cs="Times New Roman"/>
          <w:sz w:val="28"/>
          <w:szCs w:val="28"/>
        </w:rPr>
        <w:t>Использование шлифовальных машинок разрешено только для зачистки чертежей. Испол</w:t>
      </w:r>
      <w:r w:rsidR="005769E2">
        <w:rPr>
          <w:rStyle w:val="1"/>
          <w:rFonts w:ascii="Times New Roman" w:hAnsi="Times New Roman" w:cs="Times New Roman"/>
          <w:sz w:val="28"/>
          <w:szCs w:val="28"/>
        </w:rPr>
        <w:t>ьзование шлифовальных машинок</w:t>
      </w:r>
      <w:r w:rsidR="00562D9B">
        <w:rPr>
          <w:rStyle w:val="1"/>
          <w:rFonts w:ascii="Times New Roman" w:hAnsi="Times New Roman" w:cs="Times New Roman"/>
          <w:sz w:val="28"/>
          <w:szCs w:val="28"/>
        </w:rPr>
        <w:t xml:space="preserve"> по </w:t>
      </w:r>
      <w:r w:rsidR="005769E2">
        <w:rPr>
          <w:rStyle w:val="1"/>
          <w:rFonts w:ascii="Times New Roman" w:hAnsi="Times New Roman" w:cs="Times New Roman"/>
          <w:sz w:val="28"/>
          <w:szCs w:val="28"/>
        </w:rPr>
        <w:t xml:space="preserve">другому </w:t>
      </w:r>
      <w:r w:rsidR="00562D9B">
        <w:rPr>
          <w:rStyle w:val="1"/>
          <w:rFonts w:ascii="Times New Roman" w:hAnsi="Times New Roman" w:cs="Times New Roman"/>
          <w:sz w:val="28"/>
          <w:szCs w:val="28"/>
        </w:rPr>
        <w:t>назначению наказывается штрафными баллами. Каждое использование – 1,25 балла.</w:t>
      </w:r>
    </w:p>
    <w:p w:rsidR="005769E2" w:rsidRDefault="00EC47C7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C47C7">
        <w:rPr>
          <w:rStyle w:val="1"/>
          <w:rFonts w:ascii="Times New Roman" w:hAnsi="Times New Roman" w:cs="Times New Roman"/>
          <w:sz w:val="28"/>
          <w:szCs w:val="28"/>
        </w:rPr>
        <w:t xml:space="preserve">8) </w:t>
      </w:r>
      <w:r w:rsidR="005769E2">
        <w:rPr>
          <w:rStyle w:val="1"/>
          <w:rFonts w:ascii="Times New Roman" w:hAnsi="Times New Roman" w:cs="Times New Roman"/>
          <w:sz w:val="28"/>
          <w:szCs w:val="28"/>
        </w:rPr>
        <w:t xml:space="preserve">Любой ремонт испорченных заготовок запрещён. </w:t>
      </w:r>
    </w:p>
    <w:p w:rsidR="00EC47C7" w:rsidRDefault="005769E2" w:rsidP="00DB3078">
      <w:pPr>
        <w:pStyle w:val="4"/>
        <w:shd w:val="clear" w:color="auto" w:fill="auto"/>
        <w:spacing w:before="240" w:after="0" w:line="24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9) В случае, когда 30% изменения задания приводят к уменьшению размеров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деталей, организаторы обязаны уменьшить размеры заготовок так, чтобы припуск на обработку по длине не превышал 100 мм.</w:t>
      </w:r>
    </w:p>
    <w:p w:rsidR="00BD3B5E" w:rsidRDefault="00BD3B5E" w:rsidP="00DB3078">
      <w:pPr>
        <w:pStyle w:val="4"/>
        <w:shd w:val="clear" w:color="auto" w:fill="auto"/>
        <w:spacing w:before="240" w:after="0" w:line="24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10) Количество и размеры заготовок на рабочем месте должны строго соответствовать спецификации.</w:t>
      </w:r>
      <w:r w:rsidR="008745A3">
        <w:rPr>
          <w:rStyle w:val="1"/>
          <w:rFonts w:ascii="Times New Roman" w:hAnsi="Times New Roman" w:cs="Times New Roman"/>
          <w:sz w:val="28"/>
          <w:szCs w:val="28"/>
        </w:rPr>
        <w:t xml:space="preserve"> Комплекты заготовок для каждого модуля выдаются участнику непосредственно перед выполнением данного модуля.</w:t>
      </w:r>
    </w:p>
    <w:p w:rsidR="00BF6513" w:rsidRPr="003F5F84" w:rsidRDefault="00BF6513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002A60">
      <w:pPr>
        <w:pStyle w:val="4"/>
        <w:shd w:val="clear" w:color="auto" w:fill="auto"/>
        <w:spacing w:before="24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7627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2C7576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C7576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6186"/>
        <w:gridCol w:w="1842"/>
        <w:gridCol w:w="1418"/>
      </w:tblGrid>
      <w:tr w:rsidR="00BF6513" w:rsidRPr="00E60085" w:rsidTr="003840DA">
        <w:tc>
          <w:tcPr>
            <w:tcW w:w="585" w:type="dxa"/>
            <w:vAlign w:val="center"/>
          </w:tcPr>
          <w:p w:rsidR="00BF6513" w:rsidRPr="00BA5866" w:rsidRDefault="00BF6513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186" w:type="dxa"/>
            <w:vAlign w:val="center"/>
          </w:tcPr>
          <w:p w:rsidR="00BF6513" w:rsidRPr="00BA5866" w:rsidRDefault="00BF6513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42" w:type="dxa"/>
            <w:vAlign w:val="center"/>
          </w:tcPr>
          <w:p w:rsidR="00BF6513" w:rsidRPr="00BA5866" w:rsidRDefault="00BF6513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418" w:type="dxa"/>
            <w:vAlign w:val="center"/>
          </w:tcPr>
          <w:p w:rsidR="00BF6513" w:rsidRPr="00BA5866" w:rsidRDefault="00BF6513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3840DA">
        <w:trPr>
          <w:trHeight w:val="1104"/>
        </w:trPr>
        <w:tc>
          <w:tcPr>
            <w:tcW w:w="585" w:type="dxa"/>
            <w:vAlign w:val="center"/>
          </w:tcPr>
          <w:p w:rsidR="00A406A7" w:rsidRPr="004A1455" w:rsidRDefault="00A406A7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86" w:type="dxa"/>
            <w:vAlign w:val="center"/>
          </w:tcPr>
          <w:p w:rsidR="00D04AA9" w:rsidRPr="004A1455" w:rsidRDefault="00487714" w:rsidP="003840D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F2A72">
              <w:rPr>
                <w:rFonts w:ascii="Times New Roman" w:hAnsi="Times New Roman" w:cs="Times New Roman"/>
                <w:sz w:val="24"/>
                <w:szCs w:val="24"/>
              </w:rPr>
              <w:t>Каркасные стойки. Модуль 1: Вычерчивание необходимых чертежей. Разметка на заготовках. Изготовление деталей. Формирование соединений. Сборка модуля.</w:t>
            </w:r>
          </w:p>
        </w:tc>
        <w:tc>
          <w:tcPr>
            <w:tcW w:w="1842" w:type="dxa"/>
            <w:vAlign w:val="center"/>
          </w:tcPr>
          <w:p w:rsidR="00A406A7" w:rsidRPr="004A1455" w:rsidRDefault="00A406A7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487714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406A7" w:rsidRPr="004A1455" w:rsidRDefault="00487714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487714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3840DA">
        <w:trPr>
          <w:trHeight w:val="1104"/>
        </w:trPr>
        <w:tc>
          <w:tcPr>
            <w:tcW w:w="585" w:type="dxa"/>
            <w:vAlign w:val="center"/>
          </w:tcPr>
          <w:p w:rsidR="00A406A7" w:rsidRPr="004A1455" w:rsidRDefault="00A406A7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86" w:type="dxa"/>
            <w:vAlign w:val="center"/>
          </w:tcPr>
          <w:p w:rsidR="00A406A7" w:rsidRPr="004A1455" w:rsidRDefault="00487714" w:rsidP="003840D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D0968">
              <w:rPr>
                <w:rFonts w:ascii="Times New Roman" w:hAnsi="Times New Roman" w:cs="Times New Roman"/>
                <w:sz w:val="24"/>
                <w:szCs w:val="28"/>
              </w:rPr>
              <w:t>Крыша. Модуль 2: Вычерчивание чертежей и необходимых построений для нахождения требуемых размеров и углов. Разметка на заготовках. Изготовление деталей. Формирование соединений. Сборка модуля.</w:t>
            </w:r>
          </w:p>
        </w:tc>
        <w:tc>
          <w:tcPr>
            <w:tcW w:w="1842" w:type="dxa"/>
            <w:vAlign w:val="center"/>
          </w:tcPr>
          <w:p w:rsidR="001006C4" w:rsidRPr="004A1455" w:rsidRDefault="001006C4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EE3029" w:rsidRPr="004A1455" w:rsidRDefault="001006C4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0901B4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55B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1006C4" w:rsidRPr="004A1455" w:rsidRDefault="00EE3029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755BC6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3840DA">
        <w:trPr>
          <w:trHeight w:val="1104"/>
        </w:trPr>
        <w:tc>
          <w:tcPr>
            <w:tcW w:w="585" w:type="dxa"/>
            <w:vAlign w:val="center"/>
          </w:tcPr>
          <w:p w:rsidR="00A406A7" w:rsidRPr="004A1455" w:rsidRDefault="00A406A7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186" w:type="dxa"/>
            <w:vAlign w:val="center"/>
          </w:tcPr>
          <w:p w:rsidR="00487714" w:rsidRPr="004A1455" w:rsidRDefault="00755BC6" w:rsidP="003840DA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Настил. 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F2A72">
              <w:rPr>
                <w:rFonts w:ascii="Times New Roman" w:hAnsi="Times New Roman" w:cs="Times New Roman"/>
                <w:sz w:val="24"/>
                <w:szCs w:val="24"/>
              </w:rPr>
              <w:t>Вычерчивание необходимых чертежей. Разметка на заготовках. Изготовление деталей. Сборка модуля.</w:t>
            </w:r>
          </w:p>
        </w:tc>
        <w:tc>
          <w:tcPr>
            <w:tcW w:w="1842" w:type="dxa"/>
            <w:vAlign w:val="center"/>
          </w:tcPr>
          <w:p w:rsidR="00A406A7" w:rsidRPr="004A1455" w:rsidRDefault="00755BC6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418" w:type="dxa"/>
            <w:vAlign w:val="center"/>
          </w:tcPr>
          <w:p w:rsidR="00A406A7" w:rsidRPr="00755BC6" w:rsidRDefault="00755BC6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8771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E80209" w:rsidRPr="00E60085" w:rsidTr="003840DA">
        <w:trPr>
          <w:trHeight w:val="1104"/>
        </w:trPr>
        <w:tc>
          <w:tcPr>
            <w:tcW w:w="585" w:type="dxa"/>
            <w:vAlign w:val="center"/>
          </w:tcPr>
          <w:p w:rsidR="00E80209" w:rsidRPr="004A1455" w:rsidRDefault="00E80209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186" w:type="dxa"/>
            <w:vAlign w:val="center"/>
          </w:tcPr>
          <w:p w:rsidR="00755BC6" w:rsidRPr="004A1455" w:rsidRDefault="00755BC6" w:rsidP="003840DA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Стол. </w:t>
            </w:r>
            <w:r w:rsidR="00E8020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3F2A72">
              <w:rPr>
                <w:rFonts w:ascii="Times New Roman" w:hAnsi="Times New Roman" w:cs="Times New Roman"/>
                <w:sz w:val="24"/>
                <w:szCs w:val="24"/>
              </w:rPr>
              <w:t>Вычерчивание необходимых чертежей. Разметка на заготовках. Изготовление деталей. Формирование соединений. Сборка модуля.</w:t>
            </w:r>
          </w:p>
        </w:tc>
        <w:tc>
          <w:tcPr>
            <w:tcW w:w="1842" w:type="dxa"/>
            <w:vAlign w:val="center"/>
          </w:tcPr>
          <w:p w:rsidR="00755BC6" w:rsidRDefault="00755BC6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55BC6">
              <w:rPr>
                <w:rFonts w:ascii="Times New Roman" w:hAnsi="Times New Roman" w:cs="Times New Roman"/>
                <w:sz w:val="24"/>
                <w:szCs w:val="28"/>
              </w:rPr>
              <w:t xml:space="preserve"> 09.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55BC6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55B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55BC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80209" w:rsidRPr="004A1455" w:rsidRDefault="00755BC6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С3 1</w:t>
            </w:r>
            <w:r w:rsidR="003840DA">
              <w:rPr>
                <w:rFonts w:ascii="Times New Roman" w:hAnsi="Times New Roman" w:cs="Times New Roman"/>
                <w:sz w:val="24"/>
                <w:szCs w:val="28"/>
              </w:rPr>
              <w:t>4.00-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40D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418" w:type="dxa"/>
            <w:vAlign w:val="center"/>
          </w:tcPr>
          <w:p w:rsidR="003840DA" w:rsidRPr="004A1455" w:rsidRDefault="003840DA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  <w:p w:rsidR="00E80209" w:rsidRPr="004A1455" w:rsidRDefault="003840DA" w:rsidP="003840DA">
            <w:pPr>
              <w:spacing w:after="0" w:line="36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3840DA" w:rsidRPr="00E60085" w:rsidTr="00F502DD">
        <w:trPr>
          <w:trHeight w:val="539"/>
        </w:trPr>
        <w:tc>
          <w:tcPr>
            <w:tcW w:w="6771" w:type="dxa"/>
            <w:gridSpan w:val="2"/>
            <w:vAlign w:val="center"/>
          </w:tcPr>
          <w:p w:rsidR="003840DA" w:rsidRPr="004A1455" w:rsidRDefault="003840DA" w:rsidP="003840DA">
            <w:pPr>
              <w:spacing w:after="0" w:line="240" w:lineRule="auto"/>
              <w:ind w:hanging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3840DA" w:rsidRPr="004A1455" w:rsidRDefault="003840DA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40DA" w:rsidRPr="004A1455" w:rsidRDefault="003840DA" w:rsidP="003840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C7576" w:rsidRPr="002C7576">
        <w:rPr>
          <w:rFonts w:ascii="Times New Roman" w:hAnsi="Times New Roman"/>
          <w:b/>
          <w:sz w:val="28"/>
          <w:szCs w:val="28"/>
        </w:rPr>
        <w:t>Каркасные стойки</w:t>
      </w:r>
    </w:p>
    <w:p w:rsidR="002C7576" w:rsidRDefault="0035067A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</w:t>
      </w:r>
      <w:r w:rsidR="002919E4">
        <w:rPr>
          <w:rFonts w:ascii="Times New Roman" w:hAnsi="Times New Roman"/>
          <w:sz w:val="28"/>
          <w:szCs w:val="28"/>
        </w:rPr>
        <w:t>астник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 w:rsidR="002C7576">
        <w:rPr>
          <w:rFonts w:ascii="Times New Roman" w:hAnsi="Times New Roman"/>
          <w:sz w:val="28"/>
          <w:szCs w:val="28"/>
        </w:rPr>
        <w:t>выполняет</w:t>
      </w:r>
      <w:r w:rsidR="002919E4">
        <w:rPr>
          <w:rFonts w:ascii="Times New Roman" w:hAnsi="Times New Roman"/>
          <w:sz w:val="28"/>
          <w:szCs w:val="28"/>
        </w:rPr>
        <w:t>:</w:t>
      </w:r>
      <w:r w:rsidR="002C7576">
        <w:rPr>
          <w:rFonts w:ascii="Times New Roman" w:hAnsi="Times New Roman"/>
          <w:sz w:val="28"/>
          <w:szCs w:val="28"/>
        </w:rPr>
        <w:t xml:space="preserve"> </w:t>
      </w:r>
    </w:p>
    <w:p w:rsidR="00D217BC" w:rsidRDefault="002C7576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чертежи, необходимые для изготовления деталей 1 модуля;</w:t>
      </w:r>
    </w:p>
    <w:p w:rsidR="002C7576" w:rsidRDefault="002C7576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разметку на заготовках;</w:t>
      </w:r>
    </w:p>
    <w:p w:rsidR="002C7576" w:rsidRDefault="002C7576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изготовление деталей;</w:t>
      </w:r>
    </w:p>
    <w:p w:rsidR="002C7576" w:rsidRDefault="002C7576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соединений.</w:t>
      </w:r>
    </w:p>
    <w:p w:rsidR="002C7576" w:rsidRDefault="002C7576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сдаёт все детали 1-го модуля на проверку внутренних соединений и получает для дальнейшей работы чертежи 2-го модуля.</w:t>
      </w:r>
    </w:p>
    <w:p w:rsidR="002C7576" w:rsidRPr="004A1455" w:rsidRDefault="002919E4" w:rsidP="002C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проверки экспертами внутренних соединений приступает к сборке 1-го модуля.</w:t>
      </w:r>
    </w:p>
    <w:p w:rsidR="0035067A" w:rsidRPr="005929F6" w:rsidRDefault="0035067A" w:rsidP="0035067A">
      <w:pPr>
        <w:pStyle w:val="a6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919E4">
        <w:rPr>
          <w:rFonts w:ascii="Times New Roman" w:hAnsi="Times New Roman"/>
          <w:b/>
          <w:sz w:val="28"/>
          <w:szCs w:val="28"/>
        </w:rPr>
        <w:t>: Стропильная система крыши.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выполняет: 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чертежи и необходимые построения для изготовления деталей 2 модуля;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разметку на заготовках;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изготовление деталей;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соединений.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участник сдаёт все детали 2-го модуля на проверку внутренних соединений и получает для дальнейшей работы чертежи 3-го модуля.</w:t>
      </w:r>
    </w:p>
    <w:p w:rsidR="002919E4" w:rsidRPr="004A1455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проверки экспертами внутренних соединений приступает к сборке 2-го модуля.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2919E4">
        <w:rPr>
          <w:rFonts w:ascii="Times New Roman" w:hAnsi="Times New Roman"/>
          <w:b/>
          <w:sz w:val="28"/>
          <w:szCs w:val="28"/>
        </w:rPr>
        <w:t>Настил.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выполняет: 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чертежи, необходимые для изготовления деталей 3 модуля;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разметку на заготовках;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изготовление деталей;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соединений.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сдаёт все детали 3-го модуля на проверку и получает для дальнейшей работы чертежи 4-го модуля.</w:t>
      </w:r>
    </w:p>
    <w:p w:rsidR="002919E4" w:rsidRPr="004A1455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проверки экспертами внутренних соединений приступает к сборке 3-го модуля.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2919E4">
        <w:rPr>
          <w:rFonts w:ascii="Times New Roman" w:hAnsi="Times New Roman"/>
          <w:b/>
          <w:sz w:val="28"/>
          <w:szCs w:val="28"/>
        </w:rPr>
        <w:t>Стол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выполняет: 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чертежи и необходимые построения для изготовления деталей </w:t>
      </w:r>
      <w:r w:rsidR="009635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модуля;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разметку на заготовках;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изготовление деталей;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соединений.</w:t>
      </w:r>
    </w:p>
    <w:p w:rsidR="002919E4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 сдаёт все детали </w:t>
      </w:r>
      <w:r w:rsidR="009635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-го модуля на проверку внутренних соединений</w:t>
      </w:r>
      <w:r w:rsidR="00963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35DF">
        <w:rPr>
          <w:rFonts w:ascii="Times New Roman" w:hAnsi="Times New Roman"/>
          <w:sz w:val="28"/>
          <w:szCs w:val="28"/>
        </w:rPr>
        <w:t>Время сдачи деталей фиксируется в протоколе</w:t>
      </w:r>
      <w:r>
        <w:rPr>
          <w:rFonts w:ascii="Times New Roman" w:hAnsi="Times New Roman"/>
          <w:sz w:val="28"/>
          <w:szCs w:val="28"/>
        </w:rPr>
        <w:t>.</w:t>
      </w:r>
    </w:p>
    <w:p w:rsidR="002919E4" w:rsidRPr="004A1455" w:rsidRDefault="002919E4" w:rsidP="00291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После проверки экспертами внутренних соединений приступает к сборке </w:t>
      </w:r>
      <w:r w:rsidR="009635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-го модуля.</w:t>
      </w:r>
      <w:r w:rsidR="009635DF">
        <w:rPr>
          <w:rFonts w:ascii="Times New Roman" w:hAnsi="Times New Roman"/>
          <w:sz w:val="28"/>
          <w:szCs w:val="28"/>
        </w:rPr>
        <w:t xml:space="preserve"> Использует компенсированное время.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35DF" w:rsidRDefault="009635DF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5DF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</w:t>
      </w:r>
      <w:r w:rsidR="009635D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таблица 2</w:t>
      </w:r>
      <w:r w:rsidR="009635DF">
        <w:rPr>
          <w:rFonts w:ascii="Times New Roman" w:hAnsi="Times New Roman"/>
          <w:sz w:val="28"/>
          <w:szCs w:val="28"/>
        </w:rPr>
        <w:t>)</w:t>
      </w:r>
      <w:r w:rsidRPr="00204718">
        <w:rPr>
          <w:rFonts w:ascii="Times New Roman" w:hAnsi="Times New Roman"/>
          <w:sz w:val="28"/>
          <w:szCs w:val="28"/>
        </w:rPr>
        <w:t xml:space="preserve">. </w:t>
      </w: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9635DF" w:rsidRDefault="009635D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5DF" w:rsidRDefault="009635D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5DF" w:rsidRDefault="009635D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5DF" w:rsidRPr="00204718" w:rsidRDefault="009635D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2DD" w:rsidRPr="00F502DD" w:rsidRDefault="00BF6513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5DF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3010"/>
        <w:gridCol w:w="2943"/>
        <w:gridCol w:w="1843"/>
        <w:gridCol w:w="1382"/>
      </w:tblGrid>
      <w:tr w:rsidR="00F502DD" w:rsidRPr="004D0968" w:rsidTr="00F502DD">
        <w:tc>
          <w:tcPr>
            <w:tcW w:w="1101" w:type="dxa"/>
            <w:vMerge w:val="restart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010" w:type="dxa"/>
            <w:vMerge w:val="restart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168" w:type="dxa"/>
            <w:gridSpan w:val="3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502DD" w:rsidRPr="004D0968" w:rsidTr="00F502DD">
        <w:tc>
          <w:tcPr>
            <w:tcW w:w="1101" w:type="dxa"/>
            <w:vMerge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  <w:r w:rsidRPr="004D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Marking</w:t>
            </w:r>
            <w:proofErr w:type="spellEnd"/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F502DD" w:rsidRPr="004D0968" w:rsidTr="00F502DD">
        <w:tc>
          <w:tcPr>
            <w:tcW w:w="1101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0" w:type="dxa"/>
            <w:vAlign w:val="center"/>
          </w:tcPr>
          <w:p w:rsidR="00F502DD" w:rsidRPr="004D0968" w:rsidRDefault="00F502DD" w:rsidP="00F502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Внутренние соединения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2DD" w:rsidRPr="004D0968" w:rsidTr="00F502DD">
        <w:tc>
          <w:tcPr>
            <w:tcW w:w="1101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10" w:type="dxa"/>
            <w:vAlign w:val="center"/>
          </w:tcPr>
          <w:p w:rsidR="00F502DD" w:rsidRPr="004D0968" w:rsidRDefault="00F502DD" w:rsidP="00F502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02DD" w:rsidRPr="004D0968" w:rsidTr="00F502DD">
        <w:tc>
          <w:tcPr>
            <w:tcW w:w="1101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10" w:type="dxa"/>
            <w:vAlign w:val="center"/>
          </w:tcPr>
          <w:p w:rsidR="00F502DD" w:rsidRPr="004D0968" w:rsidRDefault="00F502DD" w:rsidP="00F502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Внешние соединения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02DD" w:rsidRPr="004D0968" w:rsidTr="00F502DD">
        <w:tc>
          <w:tcPr>
            <w:tcW w:w="1101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10" w:type="dxa"/>
            <w:vAlign w:val="center"/>
          </w:tcPr>
          <w:p w:rsidR="00F502DD" w:rsidRPr="004D0968" w:rsidRDefault="00F502DD" w:rsidP="00F502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Финишная отделка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2DD" w:rsidRPr="004D0968" w:rsidTr="00F502DD">
        <w:tc>
          <w:tcPr>
            <w:tcW w:w="1101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10" w:type="dxa"/>
            <w:vAlign w:val="center"/>
          </w:tcPr>
          <w:p w:rsidR="00F502DD" w:rsidRPr="004D0968" w:rsidRDefault="00F502DD" w:rsidP="00F502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Вычеты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2DD" w:rsidRPr="004D0968" w:rsidTr="00F502DD">
        <w:tc>
          <w:tcPr>
            <w:tcW w:w="4111" w:type="dxa"/>
            <w:gridSpan w:val="2"/>
            <w:vAlign w:val="center"/>
          </w:tcPr>
          <w:p w:rsidR="00F502DD" w:rsidRPr="004D0968" w:rsidRDefault="00F502DD" w:rsidP="00F502DD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  <w:vAlign w:val="center"/>
          </w:tcPr>
          <w:p w:rsidR="00F502DD" w:rsidRPr="004D0968" w:rsidRDefault="00F502DD" w:rsidP="00F502D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02DD" w:rsidRDefault="00F502DD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F502DD" w:rsidRDefault="00F502D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2DD" w:rsidRPr="00A57976" w:rsidRDefault="00F502DD" w:rsidP="00F502D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</w:p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F502DD" w:rsidRPr="005A0E68" w:rsidRDefault="00F502DD" w:rsidP="00F502DD">
      <w:pPr>
        <w:pStyle w:val="af"/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  <w:t>А – Внутренние соединения</w:t>
      </w:r>
    </w:p>
    <w:p w:rsidR="00F502DD" w:rsidRPr="00751AE7" w:rsidRDefault="00F502DD" w:rsidP="00F502DD">
      <w:pPr>
        <w:pStyle w:val="af"/>
        <w:rPr>
          <w:rFonts w:ascii="Times New Roman" w:hAnsi="Times New Roman"/>
          <w:sz w:val="28"/>
          <w:szCs w:val="28"/>
        </w:rPr>
      </w:pPr>
    </w:p>
    <w:p w:rsidR="00F502DD" w:rsidRPr="008B5A1F" w:rsidRDefault="00F502DD" w:rsidP="00F502DD">
      <w:pPr>
        <w:pStyle w:val="af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Эксперты оценивают пропилы по линиям разметки, </w:t>
      </w:r>
      <w:r>
        <w:rPr>
          <w:rFonts w:ascii="Times New Roman" w:hAnsi="Times New Roman"/>
          <w:sz w:val="28"/>
          <w:szCs w:val="28"/>
        </w:rPr>
        <w:t xml:space="preserve">ровность внутренних поверхностей, </w:t>
      </w:r>
      <w:r w:rsidRPr="008B5A1F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 на них запилов и следов работы режущего инструмента, а также</w:t>
      </w:r>
      <w:r w:rsidRPr="008B5A1F">
        <w:rPr>
          <w:rFonts w:ascii="Times New Roman" w:hAnsi="Times New Roman"/>
          <w:sz w:val="28"/>
          <w:szCs w:val="28"/>
        </w:rPr>
        <w:t xml:space="preserve"> пропилы на внутренней части</w:t>
      </w:r>
      <w:r>
        <w:rPr>
          <w:rFonts w:ascii="Times New Roman" w:hAnsi="Times New Roman"/>
          <w:sz w:val="28"/>
          <w:szCs w:val="28"/>
        </w:rPr>
        <w:t xml:space="preserve"> соединений.</w:t>
      </w:r>
      <w:r w:rsidRPr="008B5A1F">
        <w:rPr>
          <w:rFonts w:ascii="Times New Roman" w:hAnsi="Times New Roman"/>
          <w:sz w:val="28"/>
          <w:szCs w:val="28"/>
        </w:rPr>
        <w:t xml:space="preserve">  </w:t>
      </w:r>
    </w:p>
    <w:p w:rsidR="00F502DD" w:rsidRPr="008B5A1F" w:rsidRDefault="00F502DD" w:rsidP="00F502DD">
      <w:pPr>
        <w:pStyle w:val="af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 </w:t>
      </w:r>
    </w:p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F502DD" w:rsidRPr="00E201C2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2126"/>
        <w:gridCol w:w="1985"/>
        <w:gridCol w:w="1843"/>
      </w:tblGrid>
      <w:tr w:rsidR="00F502DD" w:rsidRPr="003E49B3" w:rsidTr="00F502DD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502DD" w:rsidRPr="003E49B3" w:rsidTr="00F502DD">
        <w:trPr>
          <w:trHeight w:val="1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pStyle w:val="af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не соответствует 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3E49B3" w:rsidRDefault="00F502DD" w:rsidP="00F502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отлично по сравнению с отраслевым стандартом</w:t>
            </w:r>
          </w:p>
        </w:tc>
      </w:tr>
      <w:tr w:rsidR="00F502DD" w:rsidRPr="003E49B3" w:rsidTr="00F502DD">
        <w:trPr>
          <w:trHeight w:val="2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pStyle w:val="af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6F040B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Точность пропила</w:t>
            </w:r>
          </w:p>
          <w:p w:rsidR="00F502DD" w:rsidRPr="006F040B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по линии разметки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Большинство линий пропилов не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Пропилы выполнены не по разметке, далеко от разметочных линий – на расстоянии более 2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Некоторые линии пропилов не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Пропилы выполнены близко к линиям разметки – на расстоянии от 1 до 2 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Большинство линий пропилов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Практически все пропилы близки к разметочным линиям – на расстоянии менее 1 мм.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6F040B" w:rsidRDefault="00F502DD" w:rsidP="00F502DD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Все пропилы сделаны аккуратно и строго по линиям разметки </w:t>
            </w:r>
          </w:p>
        </w:tc>
      </w:tr>
      <w:tr w:rsidR="00F502DD" w:rsidRPr="003E49B3" w:rsidTr="00F502DD">
        <w:trPr>
          <w:trHeight w:val="3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pStyle w:val="af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6F040B" w:rsidRDefault="00F502DD" w:rsidP="00F502DD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Качество плоских поверхностей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 Поверхности сделаны грубо, плохая отделка   </w:t>
            </w:r>
          </w:p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Запилы от пилы/следы от фрезерования/ следы от стамески, глубиной более 1 мм </w:t>
            </w:r>
          </w:p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Некоторые плоскости грубые, грубая отделка, нет плоскости.  </w:t>
            </w:r>
          </w:p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Небольшие запилы от пилы/следы от фрезерования/следы от стамески, глубиной от 0,5 до 1мм.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Большая часть поверхностей </w:t>
            </w:r>
            <w:proofErr w:type="gramStart"/>
            <w:r w:rsidRPr="004802D7">
              <w:rPr>
                <w:rFonts w:ascii="Arial" w:hAnsi="Arial" w:cs="Arial"/>
              </w:rPr>
              <w:t>ровные</w:t>
            </w:r>
            <w:proofErr w:type="gramEnd"/>
            <w:r w:rsidRPr="004802D7">
              <w:rPr>
                <w:rFonts w:ascii="Arial" w:hAnsi="Arial" w:cs="Arial"/>
              </w:rPr>
              <w:t xml:space="preserve"> и плоские </w:t>
            </w:r>
          </w:p>
          <w:p w:rsidR="00F502DD" w:rsidRPr="004802D7" w:rsidRDefault="00F502DD" w:rsidP="00F502DD">
            <w:pPr>
              <w:spacing w:after="120"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Маленькие запилы от пилы/следы от фрезерования/следы от стамески, глубиной менее 0,5мм.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4802D7" w:rsidRDefault="00F502DD" w:rsidP="00F502DD">
            <w:pPr>
              <w:spacing w:line="240" w:lineRule="auto"/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Все стороны гладкие, плоскости ровные, минимальные запилы/следы от фрезерования/ следы от стамески</w:t>
            </w:r>
          </w:p>
        </w:tc>
      </w:tr>
      <w:tr w:rsidR="00F502DD" w:rsidRPr="003E49B3" w:rsidTr="00F502DD">
        <w:trPr>
          <w:trHeight w:val="1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pStyle w:val="af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4802D7" w:rsidRDefault="00F502DD" w:rsidP="00F502DD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>Заход за разметочную линию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spacing w:line="240" w:lineRule="auto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 xml:space="preserve">Заход за линию разметки больше чем 3мм или совсем перепиленные соединения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spacing w:line="240" w:lineRule="auto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Заход за линию менее чем 3мм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spacing w:line="240" w:lineRule="auto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Незначительный или заход менее 1мм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11C6E" w:rsidRDefault="00F502DD" w:rsidP="00F502DD">
            <w:pPr>
              <w:spacing w:line="240" w:lineRule="auto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Нет заходов за линию</w:t>
            </w:r>
          </w:p>
        </w:tc>
      </w:tr>
    </w:tbl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502DD" w:rsidRPr="005A0E68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  <w:t>B – Размеры</w:t>
      </w:r>
    </w:p>
    <w:p w:rsidR="00F502DD" w:rsidRPr="00751AE7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F502DD" w:rsidRPr="00751AE7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2DD" w:rsidRPr="00751AE7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e"/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502DD" w:rsidRPr="00751AE7" w:rsidTr="00F502DD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751AE7" w:rsidRDefault="00F502DD" w:rsidP="00F502D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751AE7" w:rsidRDefault="00F502DD" w:rsidP="00F502D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pStyle w:val="af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502DD" w:rsidRDefault="00F502DD" w:rsidP="00F502DD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F502DD" w:rsidRDefault="00F502DD" w:rsidP="00F502DD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F502DD" w:rsidRPr="00751AE7" w:rsidRDefault="00F502DD" w:rsidP="00F502DD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  <w:t xml:space="preserve">C – Внешние соединения </w:t>
      </w:r>
    </w:p>
    <w:p w:rsidR="00F502DD" w:rsidRPr="00751AE7" w:rsidRDefault="00F502DD" w:rsidP="00F502DD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F502DD" w:rsidRPr="00751AE7" w:rsidRDefault="00F502DD" w:rsidP="00F502DD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F502DD" w:rsidRPr="00751AE7" w:rsidRDefault="00F502DD" w:rsidP="00F502DD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F502DD" w:rsidRPr="00751AE7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e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502DD" w:rsidRPr="00751AE7" w:rsidTr="00F502D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751AE7" w:rsidRDefault="00F502DD" w:rsidP="00F502D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751AE7" w:rsidRDefault="00F502DD" w:rsidP="00F502D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pStyle w:val="af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D44B34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3,5 до 10</w:t>
            </w:r>
            <w:r w:rsidR="00F502DD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F502DD" w:rsidRPr="00751AE7" w:rsidTr="00F502D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D44B34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10</w:t>
            </w:r>
            <w:r w:rsidR="00F502DD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751AE7" w:rsidRDefault="00F502DD" w:rsidP="00F502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F502DD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2DD" w:rsidRPr="005A0E68" w:rsidRDefault="00F502DD" w:rsidP="00F502DD">
      <w:pPr>
        <w:spacing w:after="0" w:line="360" w:lineRule="auto"/>
        <w:jc w:val="both"/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BACC6" w:themeColor="accent5"/>
          <w:sz w:val="28"/>
          <w:szCs w:val="28"/>
          <w:u w:val="single"/>
        </w:rPr>
        <w:t>D - Аккуратность финишной отделки, чистота и общее впечатление</w:t>
      </w:r>
    </w:p>
    <w:p w:rsidR="00F502DD" w:rsidRPr="00751AE7" w:rsidRDefault="00F502DD" w:rsidP="00F502D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tbl>
      <w:tblPr>
        <w:tblStyle w:val="a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842"/>
        <w:gridCol w:w="1985"/>
        <w:gridCol w:w="1843"/>
      </w:tblGrid>
      <w:tr w:rsidR="00F502DD" w:rsidRPr="008A1E2C" w:rsidTr="00F502DD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Judgement</w:t>
            </w:r>
            <w:proofErr w:type="spellEnd"/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marks</w:t>
            </w:r>
            <w:proofErr w:type="spellEnd"/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502DD" w:rsidRPr="008A1E2C" w:rsidTr="00F502D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DD" w:rsidRPr="008A1E2C" w:rsidRDefault="00F502DD" w:rsidP="00F502DD">
            <w:pPr>
              <w:pStyle w:val="af"/>
              <w:spacing w:after="12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соответствует</w:t>
            </w:r>
          </w:p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соответствует</w:t>
            </w:r>
          </w:p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соответствует отраслевому</w:t>
            </w:r>
          </w:p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отлично по сравнению </w:t>
            </w:r>
            <w:proofErr w:type="gramStart"/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отраслевым стандартом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 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Все детали на месте и правильно расположены.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 xml:space="preserve">Более трех деталей </w:t>
            </w:r>
            <w:proofErr w:type="gramStart"/>
            <w:r w:rsidRPr="008A1E2C">
              <w:rPr>
                <w:rFonts w:ascii="Arial" w:hAnsi="Arial" w:cs="Arial"/>
                <w:sz w:val="20"/>
                <w:szCs w:val="20"/>
              </w:rPr>
              <w:t>расположены</w:t>
            </w:r>
            <w:proofErr w:type="gramEnd"/>
            <w:r w:rsidRPr="008A1E2C">
              <w:rPr>
                <w:rFonts w:ascii="Arial" w:hAnsi="Arial" w:cs="Arial"/>
                <w:sz w:val="20"/>
                <w:szCs w:val="20"/>
              </w:rPr>
              <w:t xml:space="preserve"> в неправильном положении.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Две детали расположены не в правильном положении (повернуты).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Одна деталь в неправильном положении (повернута)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Все детали расположены согласно чертежу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Все детали на месте и правильно расположены.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D1.1.2</w:t>
            </w:r>
            <w:proofErr w:type="gramStart"/>
            <w:r w:rsidRPr="008A1E2C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A1E2C">
              <w:rPr>
                <w:rFonts w:ascii="Arial" w:hAnsi="Arial" w:cs="Arial"/>
                <w:sz w:val="20"/>
                <w:szCs w:val="20"/>
              </w:rPr>
              <w:t>се детали на месте и правильно расположены. Модуль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D1.1.2</w:t>
            </w:r>
            <w:proofErr w:type="gramStart"/>
            <w:r w:rsidRPr="008A1E2C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A1E2C">
              <w:rPr>
                <w:rFonts w:ascii="Arial" w:hAnsi="Arial" w:cs="Arial"/>
                <w:sz w:val="20"/>
                <w:szCs w:val="20"/>
              </w:rPr>
              <w:t>се детали на месте и правильно расположены. Модуль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D1.1.2</w:t>
            </w:r>
            <w:proofErr w:type="gramStart"/>
            <w:r w:rsidRPr="008A1E2C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A1E2C">
              <w:rPr>
                <w:rFonts w:ascii="Arial" w:hAnsi="Arial" w:cs="Arial"/>
                <w:sz w:val="20"/>
                <w:szCs w:val="20"/>
              </w:rPr>
              <w:t>се детали на месте и правильно расположены.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D1.1.2</w:t>
            </w:r>
            <w:proofErr w:type="gramStart"/>
            <w:r w:rsidRPr="008A1E2C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A1E2C">
              <w:rPr>
                <w:rFonts w:ascii="Arial" w:hAnsi="Arial" w:cs="Arial"/>
                <w:sz w:val="20"/>
                <w:szCs w:val="20"/>
              </w:rPr>
              <w:t>се детали на месте и правильно расположены. Модуль 2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D 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sz w:val="20"/>
                <w:szCs w:val="20"/>
              </w:rPr>
              <w:t>Все детали на месте и правильно расположены.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3 и более деталей не соответствуют чертежу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2  детали не соответствуют чертежу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1  деталь не соответствует чертежу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pStyle w:val="a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Все элементы соответствуют чертежу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Внешний вид соединений.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5 или больше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3-4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 xml:space="preserve">В оцениваемой конструкции </w:t>
            </w:r>
          </w:p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1-2 неэстетичных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Все соединения великолепно сделаны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Внешний вид соединений.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5 или больше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3-4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 xml:space="preserve">В оцениваемой конструкции </w:t>
            </w:r>
          </w:p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1-2 неэстетичных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Все соединения великолепно сделаны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Внешний вид соединений.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5 или больше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 оцениваемой конструкции 3-4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 xml:space="preserve">В оцениваемой конструкции </w:t>
            </w:r>
          </w:p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1-2 неэстетичных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F502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E2C">
              <w:rPr>
                <w:rFonts w:ascii="Arial" w:hAnsi="Arial" w:cs="Arial"/>
                <w:sz w:val="20"/>
                <w:szCs w:val="20"/>
              </w:rPr>
              <w:t>Все соединения великолепно сделаны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Плоскостность поверхности крыши. 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Поверхность крыши неточная (&gt;2mm)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Плоскость крыши сделана неточно (&gt;2mm)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На скате крыши имеется стрела прогиба более 5мм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Некоторые детали не соответствуют плоскости крыши (&lt;2mm)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Некоторые неточности на скате крыши (&lt;2mm)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Сделано хорошо, но есть незначительные несоответствия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Все плоскости крыши идеальны.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Плоскости и наклоны крыши.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Наклон крыши более &gt;3mm или/ и</w:t>
            </w:r>
          </w:p>
          <w:p w:rsidR="00F502DD" w:rsidRPr="008A1E2C" w:rsidRDefault="00F502DD" w:rsidP="008A1E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 следов от рубанка или пилы на поверхности крыши.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Допустимый наклон крыши &lt;3mm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Заметны следы от рубанка или пилы на поверхности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Допустимый наклон крыши &lt;1mm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Едва заметные следы от рубанка или пилы на поверхности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Идеальные углы и поверхности наклона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Чистота поверхности. 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Неприглядный вид изделия: Вмятины, сколы, трещины, следы неаккуратной разметки, дефекты древесины на лицевой стороне деталей.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Много отпечатков пальцев, вмятины от киянки, много видимой карандашной разметки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Финишная обработка изделия выполнена с высоким качеством.</w:t>
            </w:r>
          </w:p>
        </w:tc>
      </w:tr>
      <w:tr w:rsidR="00F502DD" w:rsidRPr="008A1E2C" w:rsidTr="00F502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D 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Установка крепежа.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Аккуратные и симметричные отверстия для винтов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соединений.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выше плоскости или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закручен</w:t>
            </w:r>
            <w:proofErr w:type="gram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глубже  5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Много (больше 3-х) неприглядных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соединений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саморезами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древесины.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Саморезы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закручены не глубже 5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2-3 </w:t>
            </w:r>
            <w:proofErr w:type="gram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неприглядных</w:t>
            </w:r>
            <w:proofErr w:type="gram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соединения: неаккуратная зенковка, смятие древесины.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Некоторые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саморезы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располагаются несимметрично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Саморезы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закручены не глубже 2mm.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дефекты установки крепежа.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Правильное и симметричное размещение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саморезов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02DD" w:rsidRPr="008A1E2C" w:rsidRDefault="00F502DD" w:rsidP="008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DD" w:rsidRPr="008A1E2C" w:rsidRDefault="00F502DD" w:rsidP="008A1E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 </w:t>
            </w:r>
            <w:proofErr w:type="spellStart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>саморезы</w:t>
            </w:r>
            <w:proofErr w:type="spellEnd"/>
            <w:r w:rsidRPr="008A1E2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идеально закручены по плоскости.</w:t>
            </w:r>
          </w:p>
        </w:tc>
      </w:tr>
    </w:tbl>
    <w:p w:rsidR="00F502DD" w:rsidRDefault="00F502DD" w:rsidP="00F502DD">
      <w:pPr>
        <w:pStyle w:val="af3"/>
        <w:rPr>
          <w:sz w:val="24"/>
          <w:szCs w:val="24"/>
        </w:rPr>
      </w:pPr>
    </w:p>
    <w:p w:rsidR="00F502DD" w:rsidRPr="005A0E68" w:rsidRDefault="00F502DD" w:rsidP="00F502DD">
      <w:pPr>
        <w:pStyle w:val="af3"/>
        <w:rPr>
          <w:color w:val="4BACC6" w:themeColor="accent5"/>
          <w:sz w:val="28"/>
          <w:szCs w:val="28"/>
        </w:rPr>
      </w:pPr>
      <w:r w:rsidRPr="005A0E68">
        <w:rPr>
          <w:color w:val="4BACC6" w:themeColor="accent5"/>
          <w:sz w:val="28"/>
          <w:szCs w:val="28"/>
        </w:rPr>
        <w:t xml:space="preserve">E – Вычеты  </w:t>
      </w:r>
    </w:p>
    <w:p w:rsidR="00F502DD" w:rsidRPr="00B025A5" w:rsidRDefault="00F502DD" w:rsidP="00F502DD">
      <w:pPr>
        <w:pStyle w:val="af1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F502DD" w:rsidRPr="00B025A5" w:rsidRDefault="00F502DD" w:rsidP="00F502DD">
      <w:pPr>
        <w:pStyle w:val="a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 xml:space="preserve">Возможность резать повторно (максимум 4 раза). К повторной резке относятся любые </w:t>
      </w:r>
      <w:r w:rsidR="008A1E2C">
        <w:rPr>
          <w:sz w:val="28"/>
          <w:szCs w:val="28"/>
        </w:rPr>
        <w:t>изменения формы</w:t>
      </w:r>
      <w:r w:rsidRPr="00B025A5">
        <w:rPr>
          <w:sz w:val="28"/>
          <w:szCs w:val="28"/>
        </w:rPr>
        <w:t xml:space="preserve"> деталей после проверки внутренних соединений;</w:t>
      </w:r>
    </w:p>
    <w:p w:rsidR="00F502DD" w:rsidRPr="00B025A5" w:rsidRDefault="00F502DD" w:rsidP="00F502DD">
      <w:pPr>
        <w:pStyle w:val="a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F502DD" w:rsidRPr="00B025A5" w:rsidRDefault="00F502DD" w:rsidP="00F502DD">
      <w:pPr>
        <w:pStyle w:val="af1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F502DD" w:rsidRDefault="00F502DD" w:rsidP="00F502DD">
      <w:pPr>
        <w:pStyle w:val="a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>
        <w:rPr>
          <w:sz w:val="28"/>
          <w:szCs w:val="28"/>
        </w:rPr>
        <w:t>, запил (на одной заготовке) –</w:t>
      </w:r>
      <w:r w:rsidRPr="00B025A5">
        <w:rPr>
          <w:sz w:val="28"/>
          <w:szCs w:val="28"/>
        </w:rPr>
        <w:t xml:space="preserve"> 1.25 баллов</w:t>
      </w:r>
    </w:p>
    <w:p w:rsidR="00F502DD" w:rsidRPr="00B025A5" w:rsidRDefault="00F502DD" w:rsidP="00F502DD">
      <w:pPr>
        <w:pStyle w:val="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Шлифование (одно) – 1.25 баллов</w:t>
      </w:r>
    </w:p>
    <w:p w:rsidR="00F502DD" w:rsidRPr="00B025A5" w:rsidRDefault="00F502DD" w:rsidP="00F502DD">
      <w:pPr>
        <w:pStyle w:val="a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B025A5">
        <w:rPr>
          <w:sz w:val="28"/>
          <w:szCs w:val="28"/>
        </w:rPr>
        <w:t xml:space="preserve"> 2.50 баллов</w:t>
      </w:r>
    </w:p>
    <w:p w:rsidR="00F502DD" w:rsidRDefault="00F502D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EA3" w:rsidRDefault="00452EA3" w:rsidP="00F502DD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E2A66"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225FEC" w:rsidRDefault="00225FEC" w:rsidP="00F502DD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099"/>
      </w:tblGrid>
      <w:tr w:rsidR="00225FEC" w:rsidTr="00225FEC">
        <w:tc>
          <w:tcPr>
            <w:tcW w:w="5196" w:type="dxa"/>
          </w:tcPr>
          <w:p w:rsidR="00225FEC" w:rsidRDefault="00225FEC" w:rsidP="00F502D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8"/>
                <w:szCs w:val="24"/>
              </w:rPr>
              <w:drawing>
                <wp:inline distT="0" distB="0" distL="0" distR="0" wp14:anchorId="0E2AE8EB" wp14:editId="1F36371F">
                  <wp:extent cx="3067108" cy="455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237" cy="456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225FEC" w:rsidRDefault="00225FEC" w:rsidP="00F502D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8"/>
                <w:szCs w:val="24"/>
              </w:rPr>
              <w:drawing>
                <wp:inline distT="0" distB="0" distL="0" distR="0" wp14:anchorId="7DED5921" wp14:editId="15814206">
                  <wp:extent cx="3101303" cy="5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03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FEC" w:rsidTr="00225FEC">
        <w:trPr>
          <w:trHeight w:val="3901"/>
        </w:trPr>
        <w:tc>
          <w:tcPr>
            <w:tcW w:w="10279" w:type="dxa"/>
            <w:gridSpan w:val="2"/>
            <w:vAlign w:val="center"/>
          </w:tcPr>
          <w:p w:rsidR="00225FEC" w:rsidRDefault="00225FEC" w:rsidP="00225F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object w:dxaOrig="3900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25pt;height:199.5pt" o:ole="">
                  <v:imagedata r:id="rId14" o:title=""/>
                </v:shape>
                <o:OLEObject Type="Embed" ProgID="PBrush" ShapeID="_x0000_i1025" DrawAspect="Content" ObjectID="_1597017995" r:id="rId15"/>
              </w:object>
            </w:r>
          </w:p>
          <w:p w:rsidR="00225FEC" w:rsidRDefault="00225FEC" w:rsidP="00225F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object w:dxaOrig="2205" w:dyaOrig="585">
                <v:shape id="_x0000_i1026" type="#_x0000_t75" style="width:163.5pt;height:43.5pt" o:ole="">
                  <v:imagedata r:id="rId16" o:title=""/>
                </v:shape>
                <o:OLEObject Type="Embed" ProgID="PBrush" ShapeID="_x0000_i1026" DrawAspect="Content" ObjectID="_1597017996" r:id="rId17"/>
              </w:object>
            </w:r>
          </w:p>
        </w:tc>
      </w:tr>
    </w:tbl>
    <w:p w:rsidR="00225FEC" w:rsidRDefault="00225FEC" w:rsidP="00F502DD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225FEC" w:rsidRDefault="00F46F35" w:rsidP="00F46F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noProof/>
          <w:sz w:val="28"/>
          <w:szCs w:val="24"/>
        </w:rPr>
        <w:drawing>
          <wp:inline distT="0" distB="0" distL="0" distR="0" wp14:anchorId="7D044D8E" wp14:editId="29202E35">
            <wp:extent cx="17526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8B" w:rsidRDefault="00225FEC" w:rsidP="00225F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noProof/>
          <w:sz w:val="28"/>
          <w:szCs w:val="24"/>
        </w:rPr>
        <w:drawing>
          <wp:inline distT="0" distB="0" distL="0" distR="0">
            <wp:extent cx="3962400" cy="335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725E7" w:rsidSect="002E1914">
      <w:headerReference w:type="default" r:id="rId20"/>
      <w:footerReference w:type="default" r:id="rId2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0B" w:rsidRDefault="008D1B0B">
      <w:r>
        <w:separator/>
      </w:r>
    </w:p>
  </w:endnote>
  <w:endnote w:type="continuationSeparator" w:id="0">
    <w:p w:rsidR="008D1B0B" w:rsidRDefault="008D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DD" w:rsidRDefault="00F502DD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F502DD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F502DD" w:rsidRPr="00832EBB" w:rsidRDefault="00F502DD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502DD" w:rsidRPr="00832EBB" w:rsidRDefault="00F502DD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502DD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F502DD" w:rsidRPr="009955F8" w:rsidRDefault="00F502DD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Россия»              Плотницкое дело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F502DD" w:rsidRPr="00832EBB" w:rsidRDefault="00F502DD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587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502DD" w:rsidRDefault="00F502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0B" w:rsidRDefault="008D1B0B">
      <w:r>
        <w:separator/>
      </w:r>
    </w:p>
  </w:footnote>
  <w:footnote w:type="continuationSeparator" w:id="0">
    <w:p w:rsidR="008D1B0B" w:rsidRDefault="008D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DD" w:rsidRDefault="00F502DD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823325" wp14:editId="2EF0DDA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2DD" w:rsidRDefault="00F502DD">
    <w:pPr>
      <w:pStyle w:val="a9"/>
    </w:pPr>
  </w:p>
  <w:p w:rsidR="00F502DD" w:rsidRDefault="00F502DD">
    <w:pPr>
      <w:pStyle w:val="a9"/>
    </w:pPr>
  </w:p>
  <w:p w:rsidR="00F502DD" w:rsidRDefault="00F502DD">
    <w:pPr>
      <w:pStyle w:val="a9"/>
    </w:pPr>
  </w:p>
  <w:p w:rsidR="00F502DD" w:rsidRDefault="00F502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2A6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FEC"/>
    <w:rsid w:val="002334A2"/>
    <w:rsid w:val="00240A7B"/>
    <w:rsid w:val="00252BB8"/>
    <w:rsid w:val="002548AC"/>
    <w:rsid w:val="00270339"/>
    <w:rsid w:val="002725A4"/>
    <w:rsid w:val="002919E4"/>
    <w:rsid w:val="002929CF"/>
    <w:rsid w:val="002B0559"/>
    <w:rsid w:val="002B1D26"/>
    <w:rsid w:val="002C1E51"/>
    <w:rsid w:val="002C7576"/>
    <w:rsid w:val="002D0BA4"/>
    <w:rsid w:val="002E1914"/>
    <w:rsid w:val="002F798E"/>
    <w:rsid w:val="0035067A"/>
    <w:rsid w:val="00350BEF"/>
    <w:rsid w:val="003653A5"/>
    <w:rsid w:val="003840DA"/>
    <w:rsid w:val="00384F61"/>
    <w:rsid w:val="003A072F"/>
    <w:rsid w:val="003C284C"/>
    <w:rsid w:val="003D4E03"/>
    <w:rsid w:val="003D7F11"/>
    <w:rsid w:val="003E2FD4"/>
    <w:rsid w:val="003F07DC"/>
    <w:rsid w:val="0040722E"/>
    <w:rsid w:val="00425D35"/>
    <w:rsid w:val="004306D4"/>
    <w:rsid w:val="00441ACD"/>
    <w:rsid w:val="00452EA3"/>
    <w:rsid w:val="00476D40"/>
    <w:rsid w:val="00487714"/>
    <w:rsid w:val="00491E2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2D9B"/>
    <w:rsid w:val="005633F5"/>
    <w:rsid w:val="00571A57"/>
    <w:rsid w:val="0057283F"/>
    <w:rsid w:val="0057423F"/>
    <w:rsid w:val="005769E2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783D"/>
    <w:rsid w:val="00631681"/>
    <w:rsid w:val="00637FB7"/>
    <w:rsid w:val="00652E8C"/>
    <w:rsid w:val="00655552"/>
    <w:rsid w:val="00662CD2"/>
    <w:rsid w:val="00674168"/>
    <w:rsid w:val="00676273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55BC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3790"/>
    <w:rsid w:val="0081178A"/>
    <w:rsid w:val="00816CAF"/>
    <w:rsid w:val="0082021A"/>
    <w:rsid w:val="00834696"/>
    <w:rsid w:val="008745A3"/>
    <w:rsid w:val="00876439"/>
    <w:rsid w:val="008A0283"/>
    <w:rsid w:val="008A1E2C"/>
    <w:rsid w:val="008A611B"/>
    <w:rsid w:val="008A69D6"/>
    <w:rsid w:val="008B2202"/>
    <w:rsid w:val="008B738D"/>
    <w:rsid w:val="008C0984"/>
    <w:rsid w:val="008C09A5"/>
    <w:rsid w:val="008C49B9"/>
    <w:rsid w:val="008D1B0B"/>
    <w:rsid w:val="008D5FC9"/>
    <w:rsid w:val="008D7E30"/>
    <w:rsid w:val="009126ED"/>
    <w:rsid w:val="00922F1C"/>
    <w:rsid w:val="009635DF"/>
    <w:rsid w:val="00982282"/>
    <w:rsid w:val="00987E8B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475C1"/>
    <w:rsid w:val="00B509A6"/>
    <w:rsid w:val="00B539EF"/>
    <w:rsid w:val="00B551C7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3B5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4B34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3078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47C7"/>
    <w:rsid w:val="00EC7E5E"/>
    <w:rsid w:val="00ED7929"/>
    <w:rsid w:val="00EE010E"/>
    <w:rsid w:val="00EE3029"/>
    <w:rsid w:val="00F17569"/>
    <w:rsid w:val="00F21D63"/>
    <w:rsid w:val="00F23D71"/>
    <w:rsid w:val="00F350D5"/>
    <w:rsid w:val="00F46F35"/>
    <w:rsid w:val="00F502DD"/>
    <w:rsid w:val="00F5587C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2"/>
    <w:next w:val="ae"/>
    <w:uiPriority w:val="59"/>
    <w:rsid w:val="009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F502DD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1"/>
    <w:link w:val="af"/>
    <w:uiPriority w:val="1"/>
    <w:rsid w:val="00F502DD"/>
    <w:rPr>
      <w:rFonts w:ascii="Calibri" w:hAnsi="Calibri"/>
      <w:sz w:val="22"/>
      <w:szCs w:val="22"/>
    </w:rPr>
  </w:style>
  <w:style w:type="paragraph" w:customStyle="1" w:styleId="-2">
    <w:name w:val="!заголовок-2"/>
    <w:basedOn w:val="2"/>
    <w:link w:val="-20"/>
    <w:qFormat/>
    <w:rsid w:val="00F502DD"/>
    <w:pPr>
      <w:spacing w:line="360" w:lineRule="auto"/>
    </w:pPr>
    <w:rPr>
      <w:i w:val="0"/>
      <w:sz w:val="28"/>
      <w:lang w:val="ru-RU"/>
    </w:rPr>
  </w:style>
  <w:style w:type="paragraph" w:customStyle="1" w:styleId="af1">
    <w:name w:val="!Текст"/>
    <w:basedOn w:val="a0"/>
    <w:link w:val="af2"/>
    <w:qFormat/>
    <w:rsid w:val="00F502DD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-20">
    <w:name w:val="!заголовок-2 Знак"/>
    <w:link w:val="-2"/>
    <w:rsid w:val="00F502DD"/>
    <w:rPr>
      <w:rFonts w:ascii="Arial" w:hAnsi="Arial"/>
      <w:b/>
      <w:sz w:val="28"/>
      <w:szCs w:val="24"/>
      <w:lang w:eastAsia="en-US"/>
    </w:rPr>
  </w:style>
  <w:style w:type="paragraph" w:customStyle="1" w:styleId="af3">
    <w:name w:val="!Синий заголовок текста"/>
    <w:basedOn w:val="a0"/>
    <w:link w:val="af4"/>
    <w:qFormat/>
    <w:rsid w:val="00F502DD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2">
    <w:name w:val="!Текст Знак"/>
    <w:link w:val="af1"/>
    <w:rsid w:val="00F502DD"/>
    <w:rPr>
      <w:sz w:val="22"/>
    </w:rPr>
  </w:style>
  <w:style w:type="paragraph" w:customStyle="1" w:styleId="a">
    <w:name w:val="!Список с точками"/>
    <w:basedOn w:val="a0"/>
    <w:link w:val="af5"/>
    <w:qFormat/>
    <w:rsid w:val="00F502DD"/>
    <w:pPr>
      <w:numPr>
        <w:numId w:val="19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4">
    <w:name w:val="!Синий заголовок текста Знак"/>
    <w:link w:val="af3"/>
    <w:rsid w:val="00F502DD"/>
    <w:rPr>
      <w:b/>
      <w:color w:val="2C8DE6"/>
      <w:sz w:val="22"/>
      <w:u w:val="single"/>
    </w:rPr>
  </w:style>
  <w:style w:type="character" w:customStyle="1" w:styleId="af5">
    <w:name w:val="!Список с точками Знак"/>
    <w:link w:val="a"/>
    <w:rsid w:val="00F502D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71D89-4757-4527-8732-95C3363A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Плотницкое дело</dc:creator>
  <cp:lastModifiedBy>Пользователь</cp:lastModifiedBy>
  <cp:revision>11</cp:revision>
  <cp:lastPrinted>2016-05-24T09:08:00Z</cp:lastPrinted>
  <dcterms:created xsi:type="dcterms:W3CDTF">2018-08-28T14:28:00Z</dcterms:created>
  <dcterms:modified xsi:type="dcterms:W3CDTF">2018-08-29T00:19:00Z</dcterms:modified>
</cp:coreProperties>
</file>