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ОПИСАНИЕ КОМПЕТЕНЦИИ</w:t>
      </w:r>
      <w:r/>
    </w:p>
    <w:p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«</w:t>
      </w:r>
      <w:r>
        <w:rPr>
          <w:rFonts w:ascii="Times New Roman" w:hAnsi="Times New Roman" w:cs="Times New Roman"/>
          <w:sz w:val="72"/>
          <w:szCs w:val="72"/>
        </w:rPr>
        <w:t xml:space="preserve">КИРПИЧНАЯ КЛАДКА</w:t>
      </w:r>
      <w:r>
        <w:rPr>
          <w:rFonts w:ascii="Times New Roman" w:hAnsi="Times New Roman" w:cs="Times New Roman"/>
          <w:sz w:val="72"/>
          <w:szCs w:val="72"/>
        </w:rPr>
        <w:t xml:space="preserve">»</w:t>
      </w:r>
      <w:r/>
    </w:p>
    <w:p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</w:r>
      <w:r/>
    </w:p>
    <w:p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</w:r>
      <w:r/>
    </w:p>
    <w:p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</w:r>
      <w:r/>
    </w:p>
    <w:p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</w:r>
      <w:r/>
    </w:p>
    <w:p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</w:r>
      <w:r/>
    </w:p>
    <w:p>
      <w:pPr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/>
    </w:p>
    <w:p>
      <w:pPr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Наименование компетенции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u w:val="single"/>
        </w:rPr>
        <w:t xml:space="preserve">Кирпичная кладка</w:t>
      </w:r>
      <w:r/>
    </w:p>
    <w:p>
      <w:pPr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Формат участия в соревновании</w:t>
      </w:r>
      <w:r>
        <w:rPr>
          <w:rFonts w:ascii="Times New Roman" w:hAnsi="Times New Roman" w:eastAsia="Calibri" w:cs="Times New Roman"/>
          <w:sz w:val="28"/>
          <w:szCs w:val="28"/>
        </w:rPr>
        <w:t xml:space="preserve">: </w:t>
      </w:r>
      <w:r>
        <w:rPr>
          <w:rFonts w:ascii="Times New Roman" w:hAnsi="Times New Roman" w:eastAsia="Calibri" w:cs="Times New Roman"/>
          <w:sz w:val="28"/>
          <w:szCs w:val="28"/>
          <w:u w:val="single"/>
        </w:rPr>
        <w:t xml:space="preserve">индивидуальный </w:t>
      </w:r>
      <w:r/>
    </w:p>
    <w:p>
      <w:pPr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Описание компетенции</w:t>
      </w:r>
      <w:r/>
    </w:p>
    <w:p>
      <w:pPr>
        <w:ind w:firstLine="851"/>
        <w:jc w:val="both"/>
        <w:spacing w:after="0" w:line="330" w:lineRule="atLeast"/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Каменщик – это квалифицированный рабочий, участвующий в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строительстве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жилых, общественных, промышленных и сельскохозяйственных зданий, а также мостов и других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сооружений.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Каменщик может участвовать и в ремонте: он выполняет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заделку «пустот» новым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кирпичом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соблюдении «швов» и «стыка» старой кладки.</w:t>
      </w:r>
      <w:r/>
    </w:p>
    <w:p>
      <w:pPr>
        <w:ind w:firstLine="851"/>
        <w:jc w:val="both"/>
        <w:spacing w:after="0" w:line="330" w:lineRule="atLeast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Камен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щик производит кладку фундаментов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наружных 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внутренних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стен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перегородок,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арок, сводов, колонн,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заборов,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монтирует в каменных зданиях железобетонные балки,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перемычки,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плиты перекрытий, лестничные марши, балконные плиты, устанавливает оконные и дверные коробки и блоки, осуществляет конопатку и заливку швов в сборных железобетонных конструкциях.</w:t>
      </w:r>
      <w:r/>
    </w:p>
    <w:p>
      <w:pPr>
        <w:ind w:firstLine="851"/>
        <w:jc w:val="both"/>
        <w:spacing w:after="0" w:line="330" w:lineRule="atLeast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Профессия каменщика</w:t>
      </w:r>
      <w:r>
        <w:rPr>
          <w:rFonts w:ascii="Times New Roman" w:hAnsi="Times New Roman" w:cs="Times New Roman"/>
          <w:sz w:val="28"/>
          <w:szCs w:val="28"/>
        </w:rPr>
        <w:t xml:space="preserve"> требует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отличн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физическ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выносливости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хорош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координаци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развит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мелк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моторик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хорошег</w:t>
      </w:r>
      <w:r>
        <w:rPr>
          <w:rFonts w:ascii="Times New Roman" w:hAnsi="Times New Roman" w:cs="Times New Roman"/>
          <w:sz w:val="28"/>
          <w:szCs w:val="28"/>
        </w:rPr>
        <w:t xml:space="preserve">о знания математики, геометрии,</w:t>
      </w:r>
      <w:r>
        <w:rPr>
          <w:rFonts w:ascii="Times New Roman" w:hAnsi="Times New Roman" w:cs="Times New Roman"/>
          <w:sz w:val="28"/>
          <w:szCs w:val="28"/>
        </w:rPr>
        <w:t xml:space="preserve"> физики</w:t>
      </w:r>
      <w:r>
        <w:rPr>
          <w:rFonts w:ascii="Times New Roman" w:hAnsi="Times New Roman" w:cs="Times New Roman"/>
          <w:sz w:val="28"/>
          <w:szCs w:val="28"/>
        </w:rPr>
        <w:t xml:space="preserve"> и химии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планирования и контроля всей работы в целом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каменщику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необходимы: пространственное воображение, техническое мышление, устойчивое внимание, наглядно-образная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память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умение распределять время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кладке кирпича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блоков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 выкладывании напусков, уступов, поясов и пр.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профессии каменщик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проще всего работать спокойным людям, готовым к монотонному труду. Незатейливое на первый взгляд занятие на самом деле требует терпения, внимательности, умения четко распределять силы и время.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Универсальными атрибутами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квалифицированного каменщика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являются организация работы и самоорганизация, навыки общения и межличностных отношений, решение проблем, изобретательность и творческие способности, аккуратность в работе.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/>
    </w:p>
    <w:p>
      <w:pPr>
        <w:ind w:firstLine="851"/>
        <w:jc w:val="both"/>
        <w:spacing w:after="0" w:line="330" w:lineRule="atLeas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Каменщик принимает на себя высокий уровень персональной ответственности и самостоятельности.</w:t>
      </w:r>
      <w:r/>
    </w:p>
    <w:p>
      <w:pPr>
        <w:ind w:firstLine="851"/>
        <w:jc w:val="both"/>
        <w:spacing w:after="0" w:line="330" w:lineRule="atLeast"/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эффективного и качественного выполнения обязанностей каменщик должен знать виды строительных материалов, их свойства, особенности обработки.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Каменщик обязан владеть всеми методами кладки, навыками обращения с инструментами.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Каменщику необходимо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разбираться в особенностях растворов для кладки, правильно оценивать их соответствие материалу.</w:t>
      </w:r>
      <w:r/>
    </w:p>
    <w:p>
      <w:pPr>
        <w:ind w:firstLine="851"/>
        <w:jc w:val="both"/>
        <w:spacing w:after="0" w:line="330" w:lineRule="atLeast"/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Каменщик обязан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читать чертежи, заниматься разметкой и измерениями возв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одимой конструкции, осуществлять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каменную кладку и отделку кладки по высоким стандартам.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кладке стен каменщик должен выдерживать необходимую толщину и ровность шва, проверять соответствие горизонтальности и вертикальности рядов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кладки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проектным требованиям, проектировать возведение углов и изгибов стены из целых, половинок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четвертинок кирпича. </w:t>
      </w:r>
      <w:r>
        <w:rPr>
          <w:rFonts w:ascii="Times New Roman" w:hAnsi="Times New Roman" w:cs="Times New Roman"/>
          <w:sz w:val="28"/>
          <w:szCs w:val="28"/>
        </w:rPr>
        <w:t xml:space="preserve">При возведении здания нужно уметь и верно распределить давление конструкции на стены.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851"/>
        <w:jc w:val="both"/>
        <w:spacing w:after="0" w:line="330" w:lineRule="atLeas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/>
      <w:bookmarkStart w:id="0" w:name="_Toc123113308"/>
      <w:r>
        <w:rPr>
          <w:rFonts w:ascii="Times New Roman" w:hAnsi="Times New Roman" w:cs="Times New Roman"/>
          <w:sz w:val="28"/>
          <w:szCs w:val="28"/>
        </w:rPr>
        <w:t xml:space="preserve">Сегодня профессия каменщика остается уважаемой и востребованной.</w:t>
      </w:r>
      <w:r/>
    </w:p>
    <w:p>
      <w:pPr>
        <w:jc w:val="both"/>
        <w:spacing w:after="0" w:line="330" w:lineRule="atLeast"/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Профессия каменщика надолго сохранит свою актуальность.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каменщика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выделяется на фоне множества смежных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рабочих специализаций.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Опытные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каменщики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востребованы, их труд хорошо оплачивается. У них есть масса возможностей для дополнительного заработка, а многие без труда начинают собственный успешный бизнес. Профессия каменщика считается одной из самых престижных и перспективных в строительстве.</w:t>
      </w:r>
      <w:r/>
    </w:p>
    <w:p>
      <w:pPr>
        <w:jc w:val="both"/>
        <w:keepNext/>
        <w:spacing w:after="0" w:line="276" w:lineRule="auto"/>
        <w:rPr>
          <w:rFonts w:ascii="Times New Roman" w:hAnsi="Times New Roman" w:eastAsia="Times New Roman" w:cs="Times New Roman"/>
          <w:b/>
          <w:sz w:val="28"/>
          <w:szCs w:val="28"/>
        </w:rPr>
        <w:outlineLvl w:val="1"/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/>
    </w:p>
    <w:p>
      <w:pPr>
        <w:jc w:val="both"/>
        <w:keepNext/>
        <w:spacing w:after="0" w:line="276" w:lineRule="auto"/>
        <w:rPr>
          <w:rFonts w:ascii="Times New Roman" w:hAnsi="Times New Roman" w:eastAsia="Times New Roman" w:cs="Times New Roman"/>
          <w:b/>
          <w:caps/>
          <w:sz w:val="28"/>
          <w:szCs w:val="28"/>
        </w:rPr>
        <w:outlineLvl w:val="1"/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Нормативные правовые акты</w:t>
      </w:r>
      <w:bookmarkEnd w:id="0"/>
      <w:r/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Поскольку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Описание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  <w:r/>
    </w:p>
    <w:p>
      <w:pPr>
        <w:numPr>
          <w:ilvl w:val="0"/>
          <w:numId w:val="2"/>
        </w:numPr>
        <w:ind w:left="0" w:firstLine="360"/>
        <w:jc w:val="both"/>
        <w:spacing w:after="0" w:line="276" w:lineRule="auto"/>
        <w:rPr>
          <w:rFonts w:ascii="Times New Roman" w:hAnsi="Times New Roman" w:eastAsia="Calibri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профессии 08.01.27 Мастер общестроительных работ (приказ </w:t>
      </w:r>
      <w:r>
        <w:rPr>
          <w:rFonts w:ascii="Times New Roman" w:hAnsi="Times New Roman" w:eastAsia="Calibri" w:cs="Times New Roman"/>
          <w:sz w:val="28"/>
          <w:szCs w:val="28"/>
        </w:rPr>
        <w:t xml:space="preserve">Минпросвещения</w:t>
      </w:r>
      <w:r>
        <w:rPr>
          <w:rFonts w:ascii="Times New Roman" w:hAnsi="Times New Roman" w:eastAsia="Calibri" w:cs="Times New Roman"/>
          <w:sz w:val="28"/>
          <w:szCs w:val="28"/>
        </w:rPr>
        <w:t xml:space="preserve"> России от 18.05.2022 №342, зарегистрировано в Минюсте России 10.06.2022 №688350</w:t>
      </w:r>
      <w:r>
        <w:rPr>
          <w:rFonts w:ascii="Times New Roman" w:hAnsi="Times New Roman" w:eastAsia="Calibri" w:cs="Times New Roman"/>
          <w:sz w:val="28"/>
          <w:szCs w:val="28"/>
        </w:rPr>
        <w:t xml:space="preserve">;</w:t>
      </w:r>
      <w:r/>
    </w:p>
    <w:p>
      <w:pPr>
        <w:numPr>
          <w:ilvl w:val="0"/>
          <w:numId w:val="2"/>
        </w:numPr>
        <w:ind w:left="0" w:firstLine="360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Профессиональный стандарт каменщик, утвержденный Министерством труда и социальной зашиты Российской Федерации от 25 декабря 2014 г</w:t>
      </w:r>
      <w:r>
        <w:rPr>
          <w:rFonts w:ascii="Times New Roman" w:hAnsi="Times New Roman" w:eastAsia="Calibri" w:cs="Times New Roman"/>
          <w:sz w:val="28"/>
          <w:szCs w:val="28"/>
        </w:rPr>
        <w:t xml:space="preserve">. №1150н, рег.№350;</w:t>
      </w:r>
      <w:r/>
    </w:p>
    <w:p>
      <w:pPr>
        <w:numPr>
          <w:ilvl w:val="0"/>
          <w:numId w:val="2"/>
        </w:numPr>
        <w:ind w:left="0" w:firstLine="360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vertAlign w:val="subscript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Свод правил СП 13330 2020 Каменные и армокаменные конструкции (СНиП II-22-81*).</w:t>
      </w:r>
      <w:r/>
    </w:p>
    <w:p>
      <w:pPr>
        <w:ind w:firstLine="709"/>
        <w:jc w:val="both"/>
        <w:keepNext/>
        <w:spacing w:after="0" w:line="276" w:lineRule="auto"/>
        <w:rPr>
          <w:rFonts w:ascii="Times New Roman" w:hAnsi="Times New Roman" w:eastAsia="Calibri" w:cs="Times New Roman"/>
          <w:i/>
          <w:sz w:val="28"/>
          <w:szCs w:val="28"/>
        </w:rPr>
        <w:outlineLvl w:val="1"/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Перечень профессиональных задач специалиста по компетенции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о</w:t>
      </w:r>
      <w:r>
        <w:rPr>
          <w:rFonts w:ascii="Times New Roman" w:hAnsi="Times New Roman" w:eastAsia="Calibri" w:cs="Times New Roman"/>
          <w:bCs/>
          <w:sz w:val="28"/>
          <w:szCs w:val="28"/>
        </w:rPr>
        <w:t xml:space="preserve">п</w:t>
      </w:r>
      <w:r>
        <w:rPr>
          <w:rFonts w:ascii="Times New Roman" w:hAnsi="Times New Roman" w:eastAsia="Calibri" w:cs="Times New Roman"/>
          <w:sz w:val="28"/>
          <w:szCs w:val="28"/>
        </w:rPr>
        <w:t xml:space="preserve">ределяется профессиональной областью специалиста и базируется на требованиях современного рынка труда к данному специалисту</w:t>
      </w:r>
      <w:r>
        <w:rPr>
          <w:rFonts w:ascii="Times New Roman" w:hAnsi="Times New Roman" w:eastAsia="Calibri" w:cs="Times New Roman"/>
          <w:i/>
          <w:sz w:val="28"/>
          <w:szCs w:val="28"/>
        </w:rPr>
        <w:t xml:space="preserve">. </w:t>
      </w:r>
      <w:r/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>
        <w:trPr/>
        <w:tc>
          <w:tcPr>
            <w:shd w:val="clear" w:color="auto" w:fill="92d050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color w:val="ffffff"/>
                <w:sz w:val="28"/>
                <w:szCs w:val="28"/>
              </w:rPr>
              <w:t xml:space="preserve">№ п/п</w:t>
            </w:r>
            <w:r/>
          </w:p>
        </w:tc>
        <w:tc>
          <w:tcPr>
            <w:shd w:val="clear" w:color="auto" w:fill="92d050"/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color w:val="ffffff"/>
                <w:sz w:val="28"/>
                <w:szCs w:val="28"/>
              </w:rPr>
              <w:t xml:space="preserve">Виды деятельности/трудовые функции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Выполнять подготовительные работы при производстве каменных работ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Производить общие каменные работы различной сложности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Выполнять сложные архитектурные элементы из кирпича и камня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Выполнять монтажные работы при возведении кирпичных зданий</w:t>
            </w:r>
            <w:r/>
          </w:p>
        </w:tc>
      </w:tr>
      <w:tr>
        <w:trPr>
          <w:trHeight w:val="761"/>
        </w:trPr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5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Производить гидроизоляционные работы при выполнении каменной кладки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6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Контролировать качество каменных работ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7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Выполнять ремонт каменных конструкций</w:t>
            </w:r>
            <w:r/>
          </w:p>
        </w:tc>
      </w:tr>
    </w:tbl>
    <w:p>
      <w:pPr>
        <w:jc w:val="both"/>
        <w:spacing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Tahoma">
    <w:panose1 w:val="020B050603060203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decimal"/>
      <w:isLgl/>
      <w:suff w:val="tab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decimal"/>
      <w:isLgl/>
      <w:suff w:val="tab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2"/>
    <w:next w:val="602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03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2"/>
    <w:next w:val="60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03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2"/>
    <w:next w:val="60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03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2"/>
    <w:next w:val="60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3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2"/>
    <w:next w:val="60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3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2"/>
    <w:next w:val="60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3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2"/>
    <w:next w:val="60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3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2"/>
    <w:next w:val="60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3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2"/>
    <w:next w:val="60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3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2"/>
    <w:next w:val="60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3"/>
    <w:link w:val="33"/>
    <w:uiPriority w:val="10"/>
    <w:rPr>
      <w:sz w:val="48"/>
      <w:szCs w:val="48"/>
    </w:rPr>
  </w:style>
  <w:style w:type="paragraph" w:styleId="35">
    <w:name w:val="Subtitle"/>
    <w:basedOn w:val="602"/>
    <w:next w:val="60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3"/>
    <w:link w:val="35"/>
    <w:uiPriority w:val="11"/>
    <w:rPr>
      <w:sz w:val="24"/>
      <w:szCs w:val="24"/>
    </w:rPr>
  </w:style>
  <w:style w:type="paragraph" w:styleId="37">
    <w:name w:val="Quote"/>
    <w:basedOn w:val="602"/>
    <w:next w:val="60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2"/>
    <w:next w:val="60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2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3"/>
    <w:link w:val="41"/>
    <w:uiPriority w:val="99"/>
  </w:style>
  <w:style w:type="paragraph" w:styleId="43">
    <w:name w:val="Footer"/>
    <w:basedOn w:val="602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3"/>
    <w:link w:val="43"/>
    <w:uiPriority w:val="99"/>
  </w:style>
  <w:style w:type="paragraph" w:styleId="45">
    <w:name w:val="Caption"/>
    <w:basedOn w:val="602"/>
    <w:next w:val="60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3"/>
    <w:uiPriority w:val="99"/>
    <w:unhideWhenUsed/>
    <w:rPr>
      <w:vertAlign w:val="superscript"/>
    </w:rPr>
  </w:style>
  <w:style w:type="paragraph" w:styleId="177">
    <w:name w:val="endnote text"/>
    <w:basedOn w:val="60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3"/>
    <w:uiPriority w:val="99"/>
    <w:semiHidden/>
    <w:unhideWhenUsed/>
    <w:rPr>
      <w:vertAlign w:val="superscript"/>
    </w:rPr>
  </w:style>
  <w:style w:type="paragraph" w:styleId="180">
    <w:name w:val="toc 1"/>
    <w:basedOn w:val="602"/>
    <w:next w:val="60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2"/>
    <w:next w:val="60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2"/>
    <w:next w:val="60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2"/>
    <w:next w:val="60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2"/>
    <w:next w:val="60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2"/>
    <w:next w:val="60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2"/>
    <w:next w:val="60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2"/>
    <w:next w:val="60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2"/>
    <w:next w:val="60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2"/>
    <w:next w:val="602"/>
    <w:uiPriority w:val="99"/>
    <w:unhideWhenUsed/>
    <w:pPr>
      <w:spacing w:after="0" w:afterAutospacing="0"/>
    </w:pPr>
  </w:style>
  <w:style w:type="paragraph" w:styleId="602" w:default="1">
    <w:name w:val="Normal"/>
    <w:qFormat/>
  </w:style>
  <w:style w:type="character" w:styleId="603" w:default="1">
    <w:name w:val="Default Paragraph Font"/>
    <w:uiPriority w:val="1"/>
    <w:semiHidden/>
    <w:unhideWhenUsed/>
  </w:style>
  <w:style w:type="table" w:styleId="60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5" w:default="1">
    <w:name w:val="No List"/>
    <w:uiPriority w:val="99"/>
    <w:semiHidden/>
    <w:unhideWhenUsed/>
  </w:style>
  <w:style w:type="paragraph" w:styleId="606">
    <w:name w:val="List Paragraph"/>
    <w:basedOn w:val="602"/>
    <w:link w:val="607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 w:cs="Times New Roman"/>
    </w:rPr>
  </w:style>
  <w:style w:type="character" w:styleId="607" w:customStyle="1">
    <w:name w:val="Абзац списка Знак"/>
    <w:basedOn w:val="603"/>
    <w:link w:val="606"/>
    <w:uiPriority w:val="34"/>
    <w:rPr>
      <w:rFonts w:ascii="Calibri" w:hAnsi="Calibri" w:eastAsia="Calibri" w:cs="Times New Roman"/>
    </w:rPr>
  </w:style>
  <w:style w:type="paragraph" w:styleId="608">
    <w:name w:val="Balloon Text"/>
    <w:basedOn w:val="602"/>
    <w:link w:val="60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09" w:customStyle="1">
    <w:name w:val="Текст выноски Знак"/>
    <w:basedOn w:val="603"/>
    <w:link w:val="60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72254-A6BF-4EE3-BB3B-2D8A0FA8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Михаил Гайдаев</cp:lastModifiedBy>
  <cp:revision>21</cp:revision>
  <dcterms:created xsi:type="dcterms:W3CDTF">2023-01-11T13:35:00Z</dcterms:created>
  <dcterms:modified xsi:type="dcterms:W3CDTF">2023-02-28T13:03:09Z</dcterms:modified>
</cp:coreProperties>
</file>