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ОПИСАНИЕ КОМПЕТЕНЦИИ</w:t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72"/>
          <w:szCs w:val="72"/>
          <w:u w:val="none"/>
        </w:rPr>
        <w:t xml:space="preserve">АРХИТЕКТУРА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»</w:t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«Архитектура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индивидуальный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</w:p>
    <w:p>
      <w:pPr>
        <w:ind w:firstLine="284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Архитектура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— искусство и наука строить, проектировать здания </w:t>
        <w:br/>
        <w:t xml:space="preserve">и соор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ужения, создающих пространственную среду для жизни и деятельности человека. В архитектуре взаимосвязаны функциональные (назначение, польза), технические (прочность, долговечность), эстетические (красота) свойства объектов и их художественно-образный смысл.</w:t>
      </w:r>
      <w:r>
        <w:rPr>
          <w:color w:val="000000" w:themeColor="text1"/>
        </w:rPr>
      </w:r>
    </w:p>
    <w:p>
      <w:pPr>
        <w:ind w:firstLine="284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Основная цель вида профессиональной деятельности архитектора -создание архитектурного объекта, включающе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в себя творческий процесс создания авторского архи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</w:t>
        <w:br/>
        <w:t xml:space="preserve">за строительством архитектурного объекта, а также деятельность </w:t>
        <w:br/>
        <w:t xml:space="preserve">по организации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профессиональной деятельности архитекторов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ind w:firstLine="284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Архитектура нынешних городов: безопасное и удобное жилье, современная, эстетическая и социальная среда, пропорциональное соединение современных архитектурных направлений и национальных традиций. </w:t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В связи с ростом урбанизации населения, возрастает актуальность п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рофессии архитектор. Современный архитектор обязан быть хорошим социологом, понимать текущие направления деятельности в различных отраслях деятельности, включая политическую обстановку, экономическую деятельность, а также моду, информационное пространство.</w:t>
      </w:r>
      <w:r>
        <w:rPr>
          <w:color w:val="000000" w:themeColor="text1"/>
        </w:rPr>
      </w:r>
    </w:p>
    <w:p>
      <w:pPr>
        <w:ind w:firstLine="284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Согласно проведенным исследованиям современного рынка труда Московской школы управления «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Сколково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» и «Агентством стратегических инициатив» в 2019г. Выпустили «Атлас новых профессий» на ближайшие </w:t>
        <w:br/>
        <w:t xml:space="preserve">20 лет, где одними из востребованных являются профессии:</w:t>
      </w:r>
      <w:r>
        <w:rPr>
          <w:color w:val="000000" w:themeColor="text1"/>
        </w:rPr>
      </w:r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- архитектор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энергонулевых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домов;</w:t>
      </w:r>
      <w:r>
        <w:rPr>
          <w:color w:val="000000" w:themeColor="text1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- архитектор территорий;</w:t>
      </w:r>
      <w:r>
        <w:rPr>
          <w:color w:val="000000" w:themeColor="text1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- урбанист эколог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shd w:val="clear" w:color="auto" w:fill="ffffff"/>
        </w:rPr>
        <w:t xml:space="preserve">.</w:t>
      </w:r>
      <w:r>
        <w:rPr>
          <w:color w:val="000000" w:themeColor="text1"/>
        </w:rPr>
      </w:r>
    </w:p>
    <w:p>
      <w:pPr>
        <w:ind w:firstLine="284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Современные т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ренды рынка проектирования и строительства в 2022 году:</w:t>
      </w:r>
      <w:r>
        <w:rPr>
          <w:color w:val="000000" w:themeColor="text1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Интерес к российским проектным и строительным компаниям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-стал как один из ва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жнейших шаг в развитии рынка проектирования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— в большем количеств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е в 2022 году. Да, наши специалисты могут получить нужный опыт за рубежом, если это понадобится. Это позволит избежать трудностей в адаптации зарубежных наработок к нашим реалиям, ведь западные компании обычно плохо разбираются в наших строительных нормах.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Увеличение эффективности: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производства, упаковки, в общем окружающей бизнес-среды. Важно создавать инфраструктуру, которая связывала бы разные районы, поставщиков и производственные комплексы, дилеров 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ретейлеров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, помогала им взаимодействовать. </w:t>
        <w:br/>
        <w:t xml:space="preserve">Это транспорт, логистические потоки, маркетинговые данные </w:t>
        <w:br/>
        <w:t xml:space="preserve">и т.д. В 2022 году один из онлайн-сервисов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ретейлеров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заявили о росте интереса россиян к растительному молоку, и о таких трендах </w:t>
        <w:br/>
        <w:t xml:space="preserve">и поведенческих особенностях потребителей важно узнавать вовремя.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Информационное моделирование зданий (BIM)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, стр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оительную робототехнику и использование современных строительных материалов. Результатом этого исследования является инновационный анализ на основе данных, который улучшает процесс принятия стратегических решений, предоставляя вам обзор новых технологий </w:t>
        <w:br/>
        <w:t xml:space="preserve">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стартапов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в строительной отрасли. Эти идеи получены в результате работы с платформой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StartUs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Insights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Discovery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на базе больших данных и искусственного интеллекта, охватывающей более 2,093,000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стартапов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и масштабируемых проектов по всему миру. Платформа быстро предоставляет исчерпывающий обзор новых технологий в конкретной области, а также на раннем этапе определяет соответствующие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стартапы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и масштабные проекты.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Модульное 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экологичное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строительство.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Экоздания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(«зеленое№ строительство).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Устойчивое развитие является основным направлением многих новых тенденций в строительной отрасли. В настоящее время определение экологически безопасных материалов или процессов для строител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ьных проектов требует много времени и средств. Зеленое строитель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ство – это популярная концепция, которая предусматривает принятие экологически безопасных мер </w:t>
        <w:br/>
        <w:t xml:space="preserve">от предварительного планирования строительства до закрытия проекта и вывода из эксплуатации. Зеленые здания оптимизируют использование энергии и ресурсов, сокраща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ют количество отходов </w:t>
        <w:br/>
        <w:t xml:space="preserve">во время строительства и позволяют зданиям достичь нулевых выбросов углерода. Различные сертификаты квалифицируют здания </w:t>
        <w:br/>
        <w:t xml:space="preserve">как «зеленые» или «устойчивые» в зависимости от вышеупомянутых параметров.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Зеленые здания – это будущее строительной отрасли, 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стартапы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разрабатывают решения для поддержки зеленого строительства.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Строительная робототехника.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Строительство продолжает оставаться одной из самых трудоемких отраслей, оно включает в себя множество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повторяющихся и трудоемких задач, которые можно выполнить быстрее с помощью робототехники и автоматизации. Строительные роботы также уменьшают количество ошибок,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вызванных деятельностью человека, и потери из-за усталости. Например,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коллаборативные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роботы с большой точностью автоматизируют кладку кирпича, сварку, связывание арматуры, покраску и многие подобные повторяющиеся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задачи. Решения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робототехники также автоматизируют тяжелое оборудование и автопарк для земляных работ, транспортировки, подъема грузов, бетонных работ и сноса. Это повышает б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езопасность строи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телей и значительно сокращает время эксплуатации. Автоматизация строительства с использованием роботов увеличивает общую производительность проекта, снижает трудозатраты </w:t>
        <w:br/>
        <w:t xml:space="preserve">и обеспечивает безопасность при выполнении опасных или опасных задач.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Строительный мониторинг.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Пос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кольку строительные проекты географически разбросаны и включают в себя множество акт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ивов </w:t>
        <w:br/>
        <w:t xml:space="preserve">и человеческих ресурсов, трудно контролировать проекты вручную. Различные участки строительных площадок недоступны для людей, </w:t>
        <w:br/>
        <w:t xml:space="preserve">но по-прежнему требуют регулярного осмотра. Вот почему строительные компании внедряют технологии для упрощения мониторинга ст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роительства. Дополнительная ценность от мониторинга зави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сит от уровня процесса мониторинга, который начинается </w:t>
        <w:br/>
        <w:t xml:space="preserve">от упрощенной функции аудита (CM1) до обеспечения качества </w:t>
        <w:br/>
        <w:t xml:space="preserve">(QA). В современных методах мониторинга и инспекций используется мониторинг с помощью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дронов 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сочетании с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лидаром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  <w:br/>
        <w:t xml:space="preserve">или термодатчиками.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Строительная 3D-печать.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3D-п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ечать в строительстве, т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акже известная как аддитивное строительство, представляет собой устойчивый </w:t>
        <w:br/>
        <w:t xml:space="preserve">и эффективный метод строительства. Строительные принтеры печатают либо целые здания, либо только сбор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ные элементы зданий. 3D-печать – это роботизированный подход, при котором дизайн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слой за слоем печатается с использованием современных строительных материалов </w:t>
        <w:br/>
        <w:t xml:space="preserve">в сотрудничестве с BIM. Обладает высокой гибкостью конструкции, </w:t>
        <w:br/>
        <w:t xml:space="preserve">не требует опалубки. Для печати используются различные методы: экструзия, силовое склеивание и аддитивная сварка.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/>
    </w:p>
    <w:p>
      <w:pPr>
        <w:ind w:firstLine="284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Анализируя современные тренды рынка строительной индустрии, п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одготовка специалистов-архитекторов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также изменилась,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большое внимание уделено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реализаци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комплекса образовательной деятельности, одним </w:t>
        <w:br/>
        <w:t xml:space="preserve">из важнейших элементов которого выступает проектно-исследовательская </w:t>
        <w:br/>
        <w:t xml:space="preserve">и практико-ориентированная работа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обучающихся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не только в учебных мастерских, но и на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стажеровочных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площадках партнеров – проектные </w:t>
        <w:br/>
        <w:t xml:space="preserve">и строительные организации городов и регионов России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 Согласно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Федеральн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ому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закон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«Об архитектурной деятельности в Российской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Федерации» (с изменениями и дополнениями) от 17 ноября 1995 г. № 169-ФЗ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выпускники СПО могут работать главными архитекторами населенных пунктов с населением до 50 тысяч человек, в любых муниципальных органах архитектуры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на иных должностях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Перспективные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направления деятельности молодых специалистов: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самозанятость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фриланс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Современный работодатель при приеме на работу выпускника профильных учебных заведений предъявляет требования, где надо обладать профессиональными компетенциями и практическими навыками работы, наиболее важными из которых являются:</w:t>
      </w:r>
      <w:r>
        <w:rPr>
          <w:color w:val="000000" w:themeColor="text1"/>
        </w:rPr>
      </w:r>
    </w:p>
    <w:p>
      <w:pPr>
        <w:pStyle w:val="66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обладать знаниями, умениями и навыками по специальности прописанными в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Профстандарте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10.008 Архитектор;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способность самостоятельно планировать, осуществлять </w:t>
        <w:br/>
        <w:t xml:space="preserve">и контролировать свою трудовую деятельность;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готовность принимать решения в условиях быстрых изменений </w:t>
        <w:br/>
        <w:t xml:space="preserve">и жесточайшей конкуренции, нести ответственность за результаты своей деятельности;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умение работать в команде в условиях коллективных форм организации труда, стремление к лидерству;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знание и умение пользоваться современными технологиями не только </w:t>
        <w:br/>
        <w:t xml:space="preserve">в IT решениях, но и материалах, технологических процессах.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Чтобы стать профессионалом в области архитектуры мало научиться,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надо быть упорным в достижении цели, постоянно повышать свою квалификацию, быть в курсе новинок строительных и отделочных материалов и современных технологий, а также не бояться участвовать </w:t>
        <w:br/>
        <w:t xml:space="preserve">в профессиональных конкурсах и выставках, тем самым повышая свое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профмастерство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</w:p>
    <w:p>
      <w:pPr>
        <w:ind w:firstLine="284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1" w:name="_Toc123113308"/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Виды профессиональной деятельности, к которым готовятся выпускники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учебных заведений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pStyle w:val="668"/>
        <w:numPr>
          <w:ilvl w:val="0"/>
          <w:numId w:val="6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проектная;</w:t>
      </w:r>
      <w:r>
        <w:rPr>
          <w:color w:val="000000" w:themeColor="text1"/>
        </w:rPr>
      </w:r>
    </w:p>
    <w:p>
      <w:pPr>
        <w:pStyle w:val="668"/>
        <w:numPr>
          <w:ilvl w:val="0"/>
          <w:numId w:val="7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научно-исследовательская;</w:t>
      </w:r>
      <w:r>
        <w:rPr>
          <w:color w:val="000000" w:themeColor="text1"/>
        </w:rPr>
      </w:r>
    </w:p>
    <w:p>
      <w:pPr>
        <w:pStyle w:val="668"/>
        <w:numPr>
          <w:ilvl w:val="0"/>
          <w:numId w:val="7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коммуникативная;</w:t>
      </w:r>
      <w:r>
        <w:rPr>
          <w:color w:val="000000" w:themeColor="text1"/>
        </w:rPr>
      </w:r>
    </w:p>
    <w:p>
      <w:pPr>
        <w:pStyle w:val="668"/>
        <w:numPr>
          <w:ilvl w:val="0"/>
          <w:numId w:val="7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организационно-управленческая;</w:t>
      </w:r>
      <w:r>
        <w:rPr>
          <w:color w:val="000000" w:themeColor="text1"/>
        </w:rPr>
      </w:r>
    </w:p>
    <w:p>
      <w:pPr>
        <w:pStyle w:val="668"/>
        <w:numPr>
          <w:ilvl w:val="0"/>
          <w:numId w:val="7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критическая и экспертная;</w:t>
      </w:r>
      <w:r>
        <w:rPr>
          <w:color w:val="000000" w:themeColor="text1"/>
        </w:rPr>
      </w:r>
    </w:p>
    <w:p>
      <w:pPr>
        <w:pStyle w:val="668"/>
        <w:numPr>
          <w:ilvl w:val="0"/>
          <w:numId w:val="7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педагогическая.</w:t>
      </w:r>
      <w:r>
        <w:rPr>
          <w:color w:val="000000" w:themeColor="text1"/>
        </w:rPr>
      </w:r>
    </w:p>
    <w:p>
      <w:pPr>
        <w:ind w:firstLine="284"/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Объектами профессиональной деятельности выпускников являются: </w:t>
      </w:r>
      <w:r>
        <w:rPr>
          <w:color w:val="000000" w:themeColor="text1"/>
        </w:rPr>
      </w:r>
    </w:p>
    <w:p>
      <w:pPr>
        <w:pStyle w:val="668"/>
        <w:numPr>
          <w:ilvl w:val="0"/>
          <w:numId w:val="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гражданские, промышленные и сельскохозяйственные здания;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интерьеры гражданских и промышленных зданий;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функциональные территории и зоны городских и сельских поселений;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реставрация и реконструкция зданий;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первичные трудовые коллективы в области проектирования.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Нормативные правовые акты.</w:t>
      </w:r>
      <w:bookmarkEnd w:id="1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10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ФГОС СПО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668"/>
        <w:numPr>
          <w:ilvl w:val="0"/>
          <w:numId w:val="12"/>
        </w:numPr>
        <w:jc w:val="both"/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ФГОС СПО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07.02.01 Архитектура. Приказ Министерства Просвещения России от 04.10.2021 № 692.</w:t>
      </w:r>
      <w:r>
        <w:rPr>
          <w:color w:val="000000" w:themeColor="text1"/>
        </w:rPr>
      </w:r>
    </w:p>
    <w:p>
      <w:pPr>
        <w:pStyle w:val="668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15"/>
        </w:numPr>
        <w:jc w:val="both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Профстандарт: 10.008 Архитектор. Утвержденный приказом Министерства труда и социальной защиты РФ от 6 апреля 2022 г. </w:t>
        <w:br/>
        <w:t xml:space="preserve">№ 202н. </w:t>
      </w:r>
      <w:r>
        <w:rPr>
          <w:color w:val="000000" w:themeColor="text1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Отраслевые/корпоративные стандарты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pStyle w:val="668"/>
        <w:numPr>
          <w:ilvl w:val="0"/>
          <w:numId w:val="1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радостроительный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одекс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(с изменениями на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19 декабря 2022 года)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(редакция, действующая с 11 января 2023 года)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1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Федеральный закон «О техническом регулировании»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ринят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Государственной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Думой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15 декабря 2002 года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(с изменениями на 2 июля 2021 года) (редакция, действующая с 23 декабря 2021 года)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18"/>
        </w:numPr>
        <w:jc w:val="both"/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 «Об архитектурной деятельности в Российской Федерации» (с изменениями и дополнениями) от 17 ноября 1995 г. </w:t>
        <w:br/>
        <w:t xml:space="preserve">№ 169-ФЗ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18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 специальной оценке условий труда» </w:t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28.12.2013 № 426-ФЗ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/>
    </w:p>
    <w:p>
      <w:pPr>
        <w:pStyle w:val="668"/>
        <w:numPr>
          <w:ilvl w:val="0"/>
          <w:numId w:val="20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Р ИСО 6707-1-2020 Здания и сооружения. Общие термины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21.101-2020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Система проектной документации для строительства. Основные требования к проектной и рабочей документации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21.508-2020 СПДС. Правила выполнения рабочей документации генеральных планов предприятий, сооружений и жилищно-гражданских объектов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ОСТ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21.501-2018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Правила выполнения рабочей документации архитектурных и конструктивных решений;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Р 57100-2016/ISO/IEC/IEEE 42010:2011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 Системная и программная инженерия. Описание Архитектуры;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21.205-2016 Система проектной документации для строительства (СПДС). Условные обозначения элементов трубопроводных систем зданий и сооружений (с Поправкой)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Р 55528-2013.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28984-2011 Модульная координация размеров в строительстве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30494-2011 Здания жилые и общественные. Параметры микроклимата в помещениях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1"/>
        </w:numPr>
        <w:jc w:val="both"/>
        <w:spacing w:after="0" w:line="276" w:lineRule="auto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ГОСТ 2.303-68 ЕСКД. Линии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r>
      <w:r/>
    </w:p>
    <w:p>
      <w:pPr>
        <w:pStyle w:val="668"/>
        <w:numPr>
          <w:ilvl w:val="0"/>
          <w:numId w:val="2"/>
        </w:numPr>
        <w:ind w:left="0" w:firstLine="426"/>
        <w:jc w:val="both"/>
        <w:spacing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СанПин</w:t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2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СанПиН 1.2.3685–21 Гигиенические нормативы и требования </w:t>
        <w:br/>
        <w:t xml:space="preserve">к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обеспечению безопасности и (или) безвредности для человека факторов среды</w:t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битания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2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СанПиН 2.1.3684–21 Санитарно-эпидемиологические требования </w:t>
        <w:br/>
        <w:t xml:space="preserve">к </w:t>
      </w:r>
      <w:r/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содержанию территорий городских и сельских поселений, к водным объектам,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питьевой воде и питьевому водоснабжению населения, атмосферному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воздуху, почвам, жилым помещениям, эксплуатации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производственных,общественных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помещений, организации </w:t>
        <w:br/>
        <w:t xml:space="preserve">и проведению санитарно-противоэпидемических (профилактических) мероприятий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2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СанПиН 2.3/2.4.3590–20 Санитарно-эпидемиологические требования </w:t>
        <w:br/>
        <w:t xml:space="preserve">к 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организации общественного питания населения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2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СанПиН 2.2.2_2.4.1340-03 Гигиенические требования к ПЭВМ </w:t>
        <w:br/>
        <w:t xml:space="preserve">и организации работы;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"/>
        </w:numPr>
        <w:ind w:left="0" w:firstLine="426"/>
        <w:jc w:val="both"/>
        <w:spacing w:after="0"/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СНИП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:</w:t>
      </w:r>
      <w:r>
        <w:rPr>
          <w:color w:val="000000" w:themeColor="text1"/>
        </w:rPr>
      </w:r>
    </w:p>
    <w:p>
      <w:pPr>
        <w:pStyle w:val="668"/>
        <w:ind w:left="426"/>
        <w:jc w:val="both"/>
        <w:spacing w:after="0"/>
        <w:rPr>
          <w:rFonts w:ascii="Times New Roman" w:hAnsi="Times New Roman" w:eastAsia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  <w:t xml:space="preserve">Генеральные планы:</w:t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30-102-99 Планировка и застройка территорий малоэтажного жилищного строительства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82 13330.2016 Благоустройство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территории;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113.13330.2016 Стоянки автомобилей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42.13330.2016 СНиП 2.07.01-89* Градостроительство. Планировка и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застройка городских и сельских поселений (с изменениями № 1, № 2)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140.13330.2012 Городская среда. Правила проектирования </w:t>
        <w:br/>
        <w:t xml:space="preserve">для маломобильных групп населения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</w:p>
    <w:p>
      <w:pPr>
        <w:ind w:left="709" w:firstLine="0"/>
        <w:jc w:val="both"/>
        <w:spacing w:after="0"/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  <w:t xml:space="preserve">Климатология </w:t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  <w:t xml:space="preserve">и защита от внешних воздействий</w:t>
      </w:r>
      <w:r>
        <w:rPr>
          <w:rFonts w:ascii="Times New Roman" w:hAnsi="Times New Roman" w:eastAsia="Times New Roman"/>
          <w:bCs/>
          <w:i/>
          <w:iCs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r>
      <w:r/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131.13330.2020 Строительная климатология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1.13130.2020 Свод правил. Системы противопожарной защиты. Эвакуационные пути и выходы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СП 1.13130.2020 Системы противопожарной защиты. Эвакуационные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пути и выходы;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СП 2.13130.2020 Системы противопожарной защиты. Обеспечение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/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огнестойкости объектов защиты;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СП 14.13330.2018 СНиП II-7-81* Строительство в сейсмических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районах (с изменением № 2);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СП 52.13330.2016 Естественное и искусственное освещение;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4.13130.2013 Системы противопожарной защиты. Ограничение распространения пожара на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обьектах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 защиты. Требования к 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обьемно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-планировочным и конструктивным решениям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50.13330.2012 Тепловая защита зданий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51.13330.2011. Защита от шума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23-102-2003 Естественное освещение жилых и общественных зданий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6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СП 23-103-2003 Проектирование звукоизоляции ограждающих конструкций жилых и общественных зданий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/>
    </w:p>
    <w:p>
      <w:pPr>
        <w:pStyle w:val="668"/>
        <w:ind w:left="426" w:firstLine="283"/>
        <w:jc w:val="both"/>
        <w:spacing w:after="0"/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</w:rPr>
        <w:t xml:space="preserve">По разделам проектирования:</w:t>
      </w:r>
      <w:r>
        <w:rPr>
          <w:color w:val="000000" w:themeColor="text1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118.13330.2022 СНиП 31-06-2009 Общественные здания </w:t>
        <w:br/>
        <w:t xml:space="preserve">и сооружения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54.13330.2022 СНиП 31-01-2003 Здания жилые многоквартирные»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59.13330.2020 Доступность зданий и сооружений </w:t>
        <w:br/>
        <w:t xml:space="preserve">для маломобильных групп населения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309.1325800.2017 Здания театрально-зрелищные Правила проектирования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55.13330.2016 Дома жилые одноквартирные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668"/>
        <w:numPr>
          <w:ilvl w:val="0"/>
          <w:numId w:val="29"/>
        </w:numPr>
        <w:jc w:val="both"/>
        <w:spacing w:after="0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СП 160.1325800.2014 Здания и комплексы многофункциональные. Правила проектирования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/>
    </w:p>
    <w:p>
      <w:pPr>
        <w:ind w:left="0" w:right="70" w:firstLine="708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компетенции используются следующие нормативные правовые документы: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668"/>
        <w:numPr>
          <w:ilvl w:val="0"/>
          <w:numId w:val="32"/>
        </w:numPr>
        <w:ind w:right="70"/>
        <w:jc w:val="both"/>
        <w:spacing w:before="0" w:after="0"/>
        <w:rPr>
          <w:rFonts w:ascii="Times New Roman" w:hAnsi="Times New Roman" w:eastAsia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ТОИ Р-45-084-01 Инструкция по охране труда при работе </w:t>
        <w:br/>
        <w:t xml:space="preserve">на персональном компьютере</w:t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668"/>
        <w:numPr>
          <w:ilvl w:val="0"/>
          <w:numId w:val="32"/>
        </w:numPr>
        <w:ind w:right="70"/>
        <w:jc w:val="both"/>
        <w:spacing w:before="0" w:after="0"/>
        <w:rPr>
          <w:rFonts w:ascii="Times New Roman" w:hAnsi="Times New Roman" w:eastAsia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  <w:t xml:space="preserve">ПОТ Р М-016-2001, РД 153-34.0-03.150-00 Межотраслевые правила </w:t>
        <w:br/>
        <w:t xml:space="preserve">по охране труда (правила безопасности) при эксплуатации электроустановок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7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</w:p>
    <w:p>
      <w:pPr>
        <w:ind w:left="0" w:right="70" w:firstLine="708"/>
        <w:jc w:val="both"/>
        <w:spacing w:before="0" w:after="0"/>
        <w:rPr>
          <w:rFonts w:ascii="Times New Roman" w:hAnsi="Times New Roman" w:eastAsia="Calibri" w:cs="Times New Roman"/>
          <w:bCs/>
          <w:i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/>
          <w:bCs/>
          <w:i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определяется профессиональной областью специалиста и базируется </w:t>
        <w:br/>
        <w:t xml:space="preserve">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bCs/>
          <w:i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i/>
          <w:color w:val="000000" w:themeColor="text1"/>
          <w:sz w:val="28"/>
          <w:szCs w:val="28"/>
          <w:highlight w:val="none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</w:rPr>
              <w:t xml:space="preserve">№ п/п</w:t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92d050"/>
            <w:tcW w:w="4471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</w:rPr>
              <w:t xml:space="preserve">Виды деятельности/трудовые функции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Сбор, анализ и подготовка исходных данных для проектирования, </w:t>
              <w:br/>
              <w:t xml:space="preserve">в том числе для разработки отдельных архитектурных и объемно-планировочных решений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отдельных архитектурных и объемно- планировочных решений в составе проектной документации объектов капитального строительства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color w:val="000000" w:themeColor="text1"/>
              </w:rPr>
            </w:r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Графическое и текстовое оформление проектной документации </w:t>
              <w:br/>
              <w:t xml:space="preserve">по разработанным отдельным архитектурным и объемно-планировочным решениям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</w:rPr>
            </w:r>
          </w:p>
        </w:tc>
        <w:tc>
          <w:tcPr>
            <w:tcW w:w="4471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Знание основ планирования и организации архитектурного проектирования и строительства</w:t>
            </w:r>
            <w:r>
              <w:rPr>
                <w:color w:val="000000" w:themeColor="text1"/>
              </w:rPr>
            </w:r>
          </w:p>
        </w:tc>
      </w:tr>
    </w:tbl>
    <w:p>
      <w:pPr>
        <w:jc w:val="both"/>
        <w:spacing w:line="360" w:lineRule="auto"/>
        <w:tabs>
          <w:tab w:val="left" w:pos="3516" w:leader="none"/>
        </w:tabs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3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sz w:val="28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5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5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5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4"/>
    <w:next w:val="66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4"/>
    <w:next w:val="66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4"/>
    <w:next w:val="66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4"/>
    <w:next w:val="66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4"/>
    <w:next w:val="66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4"/>
    <w:next w:val="66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4"/>
    <w:next w:val="66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4"/>
    <w:next w:val="66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4"/>
    <w:next w:val="66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4"/>
    <w:next w:val="66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5"/>
    <w:link w:val="33"/>
    <w:uiPriority w:val="10"/>
    <w:rPr>
      <w:sz w:val="48"/>
      <w:szCs w:val="48"/>
    </w:rPr>
  </w:style>
  <w:style w:type="paragraph" w:styleId="35">
    <w:name w:val="Subtitle"/>
    <w:basedOn w:val="664"/>
    <w:next w:val="66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5"/>
    <w:link w:val="35"/>
    <w:uiPriority w:val="11"/>
    <w:rPr>
      <w:sz w:val="24"/>
      <w:szCs w:val="24"/>
    </w:rPr>
  </w:style>
  <w:style w:type="paragraph" w:styleId="37">
    <w:name w:val="Quote"/>
    <w:basedOn w:val="664"/>
    <w:next w:val="66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4"/>
    <w:next w:val="66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5"/>
    <w:link w:val="670"/>
    <w:uiPriority w:val="99"/>
  </w:style>
  <w:style w:type="character" w:styleId="44">
    <w:name w:val="Footer Char"/>
    <w:basedOn w:val="665"/>
    <w:link w:val="672"/>
    <w:uiPriority w:val="99"/>
  </w:style>
  <w:style w:type="paragraph" w:styleId="45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2"/>
    <w:uiPriority w:val="99"/>
  </w:style>
  <w:style w:type="table" w:styleId="47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5"/>
    <w:uiPriority w:val="99"/>
    <w:unhideWhenUsed/>
    <w:rPr>
      <w:vertAlign w:val="superscript"/>
    </w:rPr>
  </w:style>
  <w:style w:type="paragraph" w:styleId="177">
    <w:name w:val="endnote text"/>
    <w:basedOn w:val="66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5"/>
    <w:uiPriority w:val="99"/>
    <w:semiHidden/>
    <w:unhideWhenUsed/>
    <w:rPr>
      <w:vertAlign w:val="superscript"/>
    </w:rPr>
  </w:style>
  <w:style w:type="paragraph" w:styleId="180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List Paragraph"/>
    <w:basedOn w:val="664"/>
    <w:link w:val="66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69" w:customStyle="1">
    <w:name w:val="Абзац списка Знак"/>
    <w:basedOn w:val="665"/>
    <w:link w:val="668"/>
    <w:uiPriority w:val="34"/>
    <w:rPr>
      <w:rFonts w:ascii="Calibri" w:hAnsi="Calibri" w:eastAsia="Calibri" w:cs="Times New Roman"/>
    </w:rPr>
  </w:style>
  <w:style w:type="paragraph" w:styleId="670">
    <w:name w:val="Header"/>
    <w:basedOn w:val="664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65"/>
    <w:link w:val="670"/>
    <w:uiPriority w:val="99"/>
  </w:style>
  <w:style w:type="paragraph" w:styleId="672">
    <w:name w:val="Footer"/>
    <w:basedOn w:val="664"/>
    <w:link w:val="6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65"/>
    <w:link w:val="67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Артур Ялаев</cp:lastModifiedBy>
  <cp:revision>9</cp:revision>
  <dcterms:created xsi:type="dcterms:W3CDTF">2023-01-20T18:45:00Z</dcterms:created>
  <dcterms:modified xsi:type="dcterms:W3CDTF">2023-01-24T13:46:44Z</dcterms:modified>
</cp:coreProperties>
</file>